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7A" w:rsidRPr="00EF757A" w:rsidRDefault="00EF757A" w:rsidP="00EF757A">
      <w:pPr>
        <w:pStyle w:val="NormalWeb"/>
        <w:jc w:val="center"/>
        <w:rPr>
          <w:rFonts w:ascii="Neo Sans Pro" w:hAnsi="Neo Sans Pro"/>
          <w:noProof/>
          <w:color w:val="000000"/>
        </w:rPr>
      </w:pPr>
      <w:r w:rsidRPr="00EF757A">
        <w:rPr>
          <w:rFonts w:ascii="Neo Sans Pro" w:hAnsi="Neo Sans Pro"/>
          <w:noProof/>
          <w:color w:val="000000"/>
        </w:rPr>
        <w:drawing>
          <wp:inline distT="0" distB="0" distL="0" distR="0" wp14:anchorId="167F51A9" wp14:editId="2D6C79DE">
            <wp:extent cx="5391303" cy="507674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4D41B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4" t="18163" r="37158" b="20081"/>
                    <a:stretch/>
                  </pic:blipFill>
                  <pic:spPr bwMode="auto">
                    <a:xfrm>
                      <a:off x="0" y="0"/>
                      <a:ext cx="5391303" cy="5076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895" w:rsidRPr="00EF757A" w:rsidRDefault="00287895" w:rsidP="00EF757A">
      <w:pPr>
        <w:pStyle w:val="NormalWeb"/>
        <w:jc w:val="both"/>
        <w:rPr>
          <w:rFonts w:ascii="Neo Sans Pro" w:hAnsi="Neo Sans Pro"/>
          <w:color w:val="000000"/>
        </w:rPr>
      </w:pPr>
    </w:p>
    <w:p w:rsidR="00300801" w:rsidRPr="00EF757A" w:rsidRDefault="00300801" w:rsidP="00EF757A">
      <w:pPr>
        <w:pStyle w:val="NormalWeb"/>
        <w:jc w:val="both"/>
        <w:rPr>
          <w:rFonts w:ascii="Neo Sans Pro" w:hAnsi="Neo Sans Pro"/>
          <w:color w:val="000000"/>
        </w:rPr>
      </w:pPr>
    </w:p>
    <w:tbl>
      <w:tblPr>
        <w:tblStyle w:val="Listaclara-nfasis5"/>
        <w:tblW w:w="13575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410"/>
        <w:gridCol w:w="284"/>
        <w:gridCol w:w="992"/>
        <w:gridCol w:w="142"/>
        <w:gridCol w:w="141"/>
        <w:gridCol w:w="709"/>
        <w:gridCol w:w="1559"/>
        <w:gridCol w:w="142"/>
        <w:gridCol w:w="1418"/>
        <w:gridCol w:w="1701"/>
      </w:tblGrid>
      <w:tr w:rsidR="00DD723F" w:rsidRPr="00B74999" w:rsidTr="00B74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DA5DC0" w:rsidRPr="00B74999" w:rsidRDefault="009D50D3" w:rsidP="00EF757A">
            <w:pPr>
              <w:jc w:val="center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 </w:t>
            </w:r>
            <w:r w:rsidR="00DA5DC0" w:rsidRPr="00B74999">
              <w:rPr>
                <w:rFonts w:ascii="Neo Sans Pro Light" w:hAnsi="Neo Sans Pro Light"/>
                <w:sz w:val="20"/>
                <w:szCs w:val="20"/>
              </w:rPr>
              <w:t>al que se deberá sujetar para su publicación</w:t>
            </w:r>
          </w:p>
          <w:p w:rsidR="007D48A1" w:rsidRPr="00B74999" w:rsidRDefault="007D48A1" w:rsidP="00EF757A">
            <w:pPr>
              <w:jc w:val="center"/>
              <w:rPr>
                <w:rFonts w:ascii="Neo Sans Pro Light" w:hAnsi="Neo Sans Pro Light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D48A1" w:rsidRPr="00B74999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Fracción/inciso</w:t>
            </w:r>
          </w:p>
        </w:tc>
        <w:tc>
          <w:tcPr>
            <w:tcW w:w="1559" w:type="dxa"/>
            <w:gridSpan w:val="4"/>
          </w:tcPr>
          <w:p w:rsidR="007D48A1" w:rsidRPr="00B74999" w:rsidRDefault="00EF0A33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Periodo</w:t>
            </w:r>
            <w:r w:rsidR="007D48A1" w:rsidRPr="00B74999">
              <w:rPr>
                <w:rFonts w:ascii="Neo Sans Pro Light" w:hAnsi="Neo Sans Pro Light"/>
                <w:sz w:val="20"/>
                <w:szCs w:val="20"/>
              </w:rPr>
              <w:t xml:space="preserve"> de</w:t>
            </w:r>
          </w:p>
          <w:p w:rsidR="007D48A1" w:rsidRPr="00B74999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Actualización</w:t>
            </w:r>
          </w:p>
        </w:tc>
        <w:tc>
          <w:tcPr>
            <w:tcW w:w="3828" w:type="dxa"/>
            <w:gridSpan w:val="4"/>
          </w:tcPr>
          <w:p w:rsidR="007D48A1" w:rsidRPr="00B74999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Observaciones acerca de la información a publicar</w:t>
            </w:r>
          </w:p>
        </w:tc>
        <w:tc>
          <w:tcPr>
            <w:tcW w:w="1701" w:type="dxa"/>
          </w:tcPr>
          <w:p w:rsidR="007D48A1" w:rsidRPr="00B74999" w:rsidRDefault="007D48A1" w:rsidP="00EF7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Periodo </w:t>
            </w:r>
            <w:r w:rsidR="00EF757A" w:rsidRPr="00B74999">
              <w:rPr>
                <w:rFonts w:ascii="Neo Sans Pro Light" w:hAnsi="Neo Sans Pro Light"/>
                <w:sz w:val="20"/>
                <w:szCs w:val="20"/>
              </w:rPr>
              <w:t xml:space="preserve"> de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Conservación de la información</w:t>
            </w:r>
          </w:p>
        </w:tc>
      </w:tr>
      <w:tr w:rsidR="007D48A1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D6201" w:rsidRPr="00B74999" w:rsidRDefault="00DA5DC0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7D48A1" w:rsidRPr="00B74999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I.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El marco normativo aplicable al sujeto obligado, en el que deberá incluirse</w:t>
            </w:r>
          </w:p>
          <w:p w:rsidR="007D48A1" w:rsidRPr="00B74999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leyes, códigos, reglamentos, decretos de creación, manuales</w:t>
            </w:r>
          </w:p>
          <w:p w:rsidR="007D48A1" w:rsidRPr="00B74999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administrativos, reglas de operación, criterios, políticas, entre otros;</w:t>
            </w:r>
          </w:p>
        </w:tc>
        <w:tc>
          <w:tcPr>
            <w:tcW w:w="1418" w:type="dxa"/>
            <w:gridSpan w:val="3"/>
          </w:tcPr>
          <w:p w:rsidR="007D48A1" w:rsidRPr="00B74999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3969" w:type="dxa"/>
            <w:gridSpan w:val="5"/>
          </w:tcPr>
          <w:p w:rsidR="007D48A1" w:rsidRPr="00B74999" w:rsidRDefault="007D48A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Cuando únicamente cuando se expida alguna reforma, adición, derogación, abrogación, decrete reforme, adicione, derogue o abrogue o se realice cualquier tipo de modificación al cualquier norma marco normativo aplicable al sujeto obligado, la información deberá publicarse y/o actualizarse en un plazo no mayor a 15 días hábiles a partir de su publicación en el Diario Oficial de la Federación (DOF)</w:t>
            </w:r>
            <w:r w:rsidR="00C2400B" w:rsidRPr="00B74999">
              <w:rPr>
                <w:rFonts w:ascii="Neo Sans Pro Light" w:hAnsi="Neo Sans Pro Light"/>
                <w:sz w:val="20"/>
                <w:szCs w:val="20"/>
              </w:rPr>
              <w:t>, Periódico o Gaceta Oficial, o acuerdo de aprobación en el caso de normas publicadas por medios distintos, como el sitio de Internet</w:t>
            </w:r>
          </w:p>
        </w:tc>
        <w:tc>
          <w:tcPr>
            <w:tcW w:w="1701" w:type="dxa"/>
          </w:tcPr>
          <w:p w:rsidR="007D48A1" w:rsidRPr="00B74999" w:rsidRDefault="00C2400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  <w:bookmarkStart w:id="0" w:name="_GoBack"/>
        <w:bookmarkEnd w:id="0"/>
      </w:tr>
      <w:tr w:rsidR="007D48A1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00801" w:rsidRPr="00B74999" w:rsidRDefault="0030080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INFORMACIÓN PÚBLICA, QUE DEBEN DE DIFUNDIR LOS SUJETOS OBLIGADOS EN LOS PORTALES DE INTERNET Y EN LA PLATAFORMA NACIONAL DE TRANSPARENCIA</w:t>
            </w:r>
          </w:p>
          <w:p w:rsidR="007D48A1" w:rsidRPr="00B74999" w:rsidRDefault="007D48A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1539AB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Su estructura orgánica completa, en un formato que permita vincular</w:t>
            </w:r>
          </w:p>
          <w:p w:rsidR="001539AB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cada parte de la estructura, las atribuciones y responsabilidades que le</w:t>
            </w:r>
          </w:p>
          <w:p w:rsidR="001539AB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corresponden a cada servidor público, prestador de servicios</w:t>
            </w:r>
          </w:p>
          <w:p w:rsidR="001539AB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profesionales o miembro de los sujetos obligados, de conformidad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con</w:t>
            </w:r>
          </w:p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las disposiciones aplicables;</w:t>
            </w:r>
          </w:p>
        </w:tc>
        <w:tc>
          <w:tcPr>
            <w:tcW w:w="1276" w:type="dxa"/>
            <w:gridSpan w:val="2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4111" w:type="dxa"/>
            <w:gridSpan w:val="6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caso, 15 días hábiles después de la aprobación de alguna modificación a la estructura orgánica</w:t>
            </w:r>
          </w:p>
        </w:tc>
        <w:tc>
          <w:tcPr>
            <w:tcW w:w="1701" w:type="dxa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7D48A1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00801" w:rsidRPr="00B74999" w:rsidRDefault="0030080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  <w:p w:rsidR="007D48A1" w:rsidRPr="00B74999" w:rsidRDefault="007D48A1" w:rsidP="00EF757A">
            <w:pPr>
              <w:jc w:val="both"/>
              <w:rPr>
                <w:rFonts w:ascii="Neo Sans Pro Light" w:hAnsi="Neo Sans Pro Light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III.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Las facultades de cada </w:t>
            </w:r>
            <w:r w:rsidR="000D6201" w:rsidRPr="00B74999">
              <w:rPr>
                <w:rFonts w:ascii="Neo Sans Pro Light" w:hAnsi="Neo Sans Pro Light"/>
                <w:sz w:val="20"/>
                <w:szCs w:val="20"/>
              </w:rPr>
              <w:t>área</w:t>
            </w:r>
          </w:p>
        </w:tc>
        <w:tc>
          <w:tcPr>
            <w:tcW w:w="1276" w:type="dxa"/>
            <w:gridSpan w:val="2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su caso 15 días hábiles después de alguna modificación</w:t>
            </w:r>
          </w:p>
        </w:tc>
        <w:tc>
          <w:tcPr>
            <w:tcW w:w="1701" w:type="dxa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7D48A1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D48A1" w:rsidRPr="00B74999" w:rsidRDefault="00300801" w:rsidP="00EF757A">
            <w:pPr>
              <w:jc w:val="both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IV.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Las metas y objetivos de las Áreas de conformidad con sus programas operativos.</w:t>
            </w:r>
          </w:p>
        </w:tc>
        <w:tc>
          <w:tcPr>
            <w:tcW w:w="1276" w:type="dxa"/>
            <w:gridSpan w:val="2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Durante el primer trimestre del ejercicio en curso</w:t>
            </w:r>
          </w:p>
        </w:tc>
        <w:tc>
          <w:tcPr>
            <w:tcW w:w="1701" w:type="dxa"/>
          </w:tcPr>
          <w:p w:rsidR="007D48A1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los últimos seis ejercicios anteriores.</w:t>
            </w:r>
          </w:p>
        </w:tc>
      </w:tr>
      <w:tr w:rsidR="007D48A1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7D48A1" w:rsidRPr="00B74999" w:rsidRDefault="00C94991" w:rsidP="00EF757A">
            <w:pPr>
              <w:jc w:val="both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 xml:space="preserve">LINEAMIENTOS GENERALES PARA LA PUBLICACIÓN DE LA INFORMACIÓN DE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  <w:shd w:val="clear" w:color="auto" w:fill="CCC0D9" w:themeFill="accent4" w:themeFillTint="66"/>
              </w:rPr>
              <w:t>LAS OBLIGACIONES ESTABLECIDAS EN LA LEY NÚMERO 875 DE TRANSPARENCIA Y ACCESO A LA INFORMACIÓN PÚBLICA PARA EL ESTADO DE VERACRUZ DE IGNACIO DE LA LLAVE, QUE DEBEN DE DIFUNDIR LOS SUJETOS OBLIGADOS EN LOS PORTALES DE INTERNET Y EN LA PLATAFORMA NACIONAL DE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Los indicadores de gestión, así como otros relacionados con temas de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interés público o trascendencia social que, conforme a sus funciones,</w:t>
            </w:r>
          </w:p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deban establecer;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7D48A1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los seis ejercicios anteriores.</w:t>
            </w:r>
          </w:p>
        </w:tc>
      </w:tr>
      <w:tr w:rsidR="007D48A1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D48A1" w:rsidRPr="00B74999" w:rsidRDefault="00300801" w:rsidP="00EF757A">
            <w:pPr>
              <w:jc w:val="both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VI.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Los indicadores que permitan rendir cuenta de sus objetivos y resultado</w:t>
            </w:r>
          </w:p>
        </w:tc>
        <w:tc>
          <w:tcPr>
            <w:tcW w:w="1276" w:type="dxa"/>
            <w:gridSpan w:val="2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B74999" w:rsidRDefault="001539AB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7D48A1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los seis ejercicios anteriores.</w:t>
            </w:r>
          </w:p>
        </w:tc>
      </w:tr>
      <w:tr w:rsidR="007D48A1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D48A1" w:rsidRPr="00B74999" w:rsidRDefault="00FE5867" w:rsidP="00EF757A">
            <w:pPr>
              <w:jc w:val="both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VII.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El directorio de servidores públicos, a partir del nivel de jefe de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departamento o su equivalente, o de menor nivel cuando se brinde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atención al público, manejen o apliquen recursos públicos, realicen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actos de autoridad o presten servicios profesionales bajo el régimen de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confianza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u honorarios y personal de base. El directorio deberá incluir,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al menos, el nombre, cargo o nombramiento asignado, nivel del puesto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la estructura orgánica, fecha de alta en el cargo, número telefónico,</w:t>
            </w:r>
          </w:p>
          <w:p w:rsidR="001539AB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domicilio para recibir correspondencia y dirección de correo electrónico</w:t>
            </w:r>
          </w:p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oficiales;</w:t>
            </w:r>
          </w:p>
        </w:tc>
        <w:tc>
          <w:tcPr>
            <w:tcW w:w="1276" w:type="dxa"/>
            <w:gridSpan w:val="2"/>
          </w:tcPr>
          <w:p w:rsidR="007D48A1" w:rsidRPr="00B74999" w:rsidRDefault="001539AB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7D48A1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su caso 15 días hábiles después de alguna modificación</w:t>
            </w:r>
          </w:p>
        </w:tc>
        <w:tc>
          <w:tcPr>
            <w:tcW w:w="1701" w:type="dxa"/>
          </w:tcPr>
          <w:p w:rsidR="007D48A1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vigente.</w:t>
            </w:r>
          </w:p>
        </w:tc>
      </w:tr>
      <w:tr w:rsidR="0042422C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42422C" w:rsidRPr="00B74999" w:rsidRDefault="00DA5DC0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LINEAMIENTOS GENERALES PARA LA PUBLICACIÓN DE LA INFORMACIÓN DE LAS OBLIGACIONES ESTABLECIDAS EN LA LEY NÚMERO 875 DE TRANSPARENCIA Y ACCESO A LA INFORMACIÓN PÚBLICA PARA EL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VIII.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remuneración bruta y neta de todos los servidores públicos de base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 de confianza, de todas las percepciones, incluyendo sueldos,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prestaciones, gratificaciones, primas, comisiones, dietas, bonos,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estímulos, ingresos y sistemas de compensación bruta y sus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deducciones e importe neto, señalando la periodicidad de dicha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remuneración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>. En las prestaciones estarán comprendidas, en su caso,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seguros, prima vacacional, aguinaldo, ayuda para despensa o similares,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vacaciones, apoyo a celular, gastos de representación, apoyo por uso de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vehículo propio, bonos o gratificaciones extraordinarias y las demás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que, por conceptos similares, reciban los servidores públicos del sujeto</w:t>
            </w:r>
          </w:p>
          <w:p w:rsidR="0042422C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obligado;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42422C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Semestral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caso de que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exista alguna modificación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antes de la conclusión del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periodo, la información deberá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actualizarse a </w:t>
            </w:r>
            <w:proofErr w:type="spellStart"/>
            <w:r w:rsidRPr="00B74999">
              <w:rPr>
                <w:rFonts w:ascii="Neo Sans Pro Light" w:hAnsi="Neo Sans Pro Light"/>
                <w:sz w:val="20"/>
                <w:szCs w:val="20"/>
              </w:rPr>
              <w:t>mas</w:t>
            </w:r>
            <w:proofErr w:type="spell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tardar en</w:t>
            </w:r>
          </w:p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los 15 días hábiles posteriores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curso y la correspondiente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al ejercicio inmediato</w:t>
            </w:r>
          </w:p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anterior</w:t>
            </w:r>
          </w:p>
        </w:tc>
      </w:tr>
      <w:tr w:rsidR="0042422C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IX. 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Los gastos de representación y viáticos, así como el objeto e informe de</w:t>
            </w:r>
          </w:p>
          <w:p w:rsidR="0042422C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comisión correspondiente</w:t>
            </w:r>
          </w:p>
        </w:tc>
        <w:tc>
          <w:tcPr>
            <w:tcW w:w="1276" w:type="dxa"/>
            <w:gridSpan w:val="2"/>
          </w:tcPr>
          <w:p w:rsidR="0042422C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84B21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</w:t>
            </w:r>
          </w:p>
          <w:p w:rsidR="00C84B21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curso y la correspondiente</w:t>
            </w:r>
          </w:p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al ejercicio anterior</w:t>
            </w:r>
          </w:p>
        </w:tc>
      </w:tr>
      <w:tr w:rsidR="0042422C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El número total de las plazas y del personal de base y confianza,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especificando el total de las vacantes, por nivel de puesto, para cada</w:t>
            </w:r>
          </w:p>
          <w:p w:rsidR="0042422C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unidad administrativa;</w:t>
            </w:r>
          </w:p>
        </w:tc>
        <w:tc>
          <w:tcPr>
            <w:tcW w:w="1276" w:type="dxa"/>
            <w:gridSpan w:val="2"/>
          </w:tcPr>
          <w:p w:rsidR="0042422C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42422C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42422C" w:rsidRPr="00B74999" w:rsidRDefault="00C9499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Las contrataciones de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servicios profesionales por honorarios o</w:t>
            </w:r>
          </w:p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asimilados, señalando los nombres de los prestadores de servicios, los</w:t>
            </w:r>
          </w:p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servicios contratados, el monto de los honorarios y el periodo de</w:t>
            </w:r>
          </w:p>
          <w:p w:rsidR="0042422C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contratación;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42422C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84B21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</w:t>
            </w:r>
          </w:p>
          <w:p w:rsidR="00C84B21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curso y la correspondiente</w:t>
            </w:r>
          </w:p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al ejercicio anterior</w:t>
            </w:r>
          </w:p>
        </w:tc>
      </w:tr>
      <w:tr w:rsidR="0042422C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AD4479" w:rsidRPr="00B74999" w:rsidRDefault="00C9499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información, en versión pública, de las declaraciones patrimonial,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fiscal y de intereses de los servidores públicos que así lo determinen,</w:t>
            </w:r>
          </w:p>
          <w:p w:rsidR="00CA5119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los sistemas habilitados para ello, de acuerdo a la normatividad</w:t>
            </w:r>
          </w:p>
          <w:p w:rsidR="0042422C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aplicable;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42422C" w:rsidRPr="00B74999" w:rsidRDefault="00CA511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</w:t>
            </w:r>
          </w:p>
          <w:p w:rsidR="00C84B21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curso y la correspondiente</w:t>
            </w:r>
          </w:p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al ejercicio anterior</w:t>
            </w:r>
          </w:p>
        </w:tc>
      </w:tr>
      <w:tr w:rsidR="0042422C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XIII.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El domicilio de la Unidad de Transparencia, además de la dirección</w:t>
            </w:r>
          </w:p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electrónica donde podrán recibirse las solicitudes para obtener la</w:t>
            </w:r>
          </w:p>
          <w:p w:rsidR="0042422C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</w:t>
            </w:r>
          </w:p>
        </w:tc>
        <w:tc>
          <w:tcPr>
            <w:tcW w:w="1276" w:type="dxa"/>
            <w:gridSpan w:val="2"/>
          </w:tcPr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84B21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su caso, 15 días</w:t>
            </w:r>
          </w:p>
          <w:p w:rsidR="00C84B21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hábiles después de alguna</w:t>
            </w:r>
          </w:p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modificación</w:t>
            </w:r>
          </w:p>
        </w:tc>
        <w:tc>
          <w:tcPr>
            <w:tcW w:w="1701" w:type="dxa"/>
          </w:tcPr>
          <w:p w:rsidR="0042422C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42422C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2422C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8756A9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XIV.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Las convocatorias a concursos para ocupar cargos públicos y los</w:t>
            </w:r>
          </w:p>
          <w:p w:rsidR="0042422C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resultados de los mismos;</w:t>
            </w:r>
          </w:p>
        </w:tc>
        <w:tc>
          <w:tcPr>
            <w:tcW w:w="1276" w:type="dxa"/>
            <w:gridSpan w:val="2"/>
          </w:tcPr>
          <w:p w:rsidR="0042422C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4111" w:type="dxa"/>
            <w:gridSpan w:val="6"/>
          </w:tcPr>
          <w:p w:rsidR="0042422C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En su caso se actualizará la información, previo a la fecha de vencimiento de las convocatorias para ocupar cargos públicos; de conformidad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con la normativa aplicable al sujeto obligado.</w:t>
            </w:r>
          </w:p>
        </w:tc>
        <w:tc>
          <w:tcPr>
            <w:tcW w:w="1701" w:type="dxa"/>
          </w:tcPr>
          <w:p w:rsidR="008756A9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información vigente y del</w:t>
            </w:r>
          </w:p>
          <w:p w:rsidR="0042422C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ejercicio en curso</w:t>
            </w:r>
          </w:p>
        </w:tc>
      </w:tr>
      <w:tr w:rsidR="00CA5119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532FAA" w:rsidRPr="00B74999" w:rsidRDefault="008756A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XV</w:t>
            </w:r>
            <w:r w:rsidR="00532FAA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I. </w:t>
            </w:r>
            <w:r w:rsidR="00532FAA" w:rsidRPr="00B74999">
              <w:rPr>
                <w:rFonts w:ascii="Neo Sans Pro Light" w:hAnsi="Neo Sans Pro Light"/>
                <w:sz w:val="20"/>
                <w:szCs w:val="20"/>
              </w:rPr>
              <w:t>Las condiciones generales de trabajo, contratos o convenios que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regulen las relaciones laborales del personal de base o de confianza, así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como los recursos públicos económicos, en especie o donativos, que</w:t>
            </w:r>
          </w:p>
          <w:p w:rsidR="00CA5119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sean entregados a los sindicatos y ejerzan como recursos públicos;</w:t>
            </w:r>
          </w:p>
        </w:tc>
        <w:tc>
          <w:tcPr>
            <w:tcW w:w="1276" w:type="dxa"/>
            <w:gridSpan w:val="2"/>
          </w:tcPr>
          <w:p w:rsidR="00CA5119" w:rsidRPr="00B74999" w:rsidRDefault="00C84B2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Cuando se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establezca, modifique o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derogue cualquier norma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laboral aplicable al sujeto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obligado, la información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normativa deberá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actualizarse en un plazo no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mayor a 15 días hábiles a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partir de su publicación y/o</w:t>
            </w:r>
          </w:p>
          <w:p w:rsidR="00CA5119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aprobación</w:t>
            </w:r>
          </w:p>
        </w:tc>
        <w:tc>
          <w:tcPr>
            <w:tcW w:w="1701" w:type="dxa"/>
          </w:tcPr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cuanto a la normatividad: información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vigente; respecto a los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recursos entregados a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sindicatos, información del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ejercicio en curso y la</w:t>
            </w:r>
          </w:p>
          <w:p w:rsidR="00532FAA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correspondiente a los dos</w:t>
            </w:r>
          </w:p>
          <w:p w:rsidR="00CA5119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ejercicios anteriores</w:t>
            </w:r>
          </w:p>
        </w:tc>
      </w:tr>
      <w:tr w:rsidR="00CA5119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CA5119" w:rsidRPr="00B74999" w:rsidRDefault="00C9499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LINEAMIENTOS GENERALES PARA LA PUBLICACIÓN DE LA INFORMACIÓN DE LAS OBLIGACIONES ESTABLECIDAS EN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532FAA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XV</w:t>
            </w:r>
            <w:r w:rsidR="00532FAA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II. </w:t>
            </w:r>
            <w:r w:rsidR="00532FAA" w:rsidRPr="00B74999">
              <w:rPr>
                <w:rFonts w:ascii="Neo Sans Pro Light" w:hAnsi="Neo Sans Pro Light"/>
                <w:sz w:val="20"/>
                <w:szCs w:val="20"/>
              </w:rPr>
              <w:t>La información curricular, desde el nivel de jefe de departamento o</w:t>
            </w:r>
          </w:p>
          <w:p w:rsidR="00532FAA" w:rsidRPr="00B74999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equivalente, hasta el titular del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sujeto obligado, así como, en su caso,</w:t>
            </w:r>
          </w:p>
          <w:p w:rsidR="00CA5119" w:rsidRPr="00B74999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las sanciones administrativas de que haya sido objeto;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CA5119" w:rsidRPr="00B74999" w:rsidRDefault="00C84B2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CA5119" w:rsidRPr="00B74999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su caso, 15 días hábiles después de alguna modificación a la información de los servidores públicos que integran el sujeto obligado,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A5119" w:rsidRPr="00B74999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CA5119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532FAA" w:rsidRPr="00B74999" w:rsidRDefault="008756A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XV</w:t>
            </w:r>
            <w:r w:rsidR="00532FAA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III. </w:t>
            </w:r>
            <w:r w:rsidR="00532FAA" w:rsidRPr="00B74999">
              <w:rPr>
                <w:rFonts w:ascii="Neo Sans Pro Light" w:hAnsi="Neo Sans Pro Light"/>
                <w:sz w:val="20"/>
                <w:szCs w:val="20"/>
              </w:rPr>
              <w:t>El listado de servidores públicos con sanciones administrativas</w:t>
            </w:r>
          </w:p>
          <w:p w:rsidR="00CA5119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definitivas, especificando la causa de sanción y la disposición;</w:t>
            </w:r>
          </w:p>
        </w:tc>
        <w:tc>
          <w:tcPr>
            <w:tcW w:w="1276" w:type="dxa"/>
            <w:gridSpan w:val="2"/>
          </w:tcPr>
          <w:p w:rsidR="00CA5119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B74999" w:rsidRDefault="00CA511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26C" w:rsidRPr="00B74999" w:rsidRDefault="00BC026C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</w:t>
            </w:r>
          </w:p>
          <w:p w:rsidR="00BC026C" w:rsidRPr="00B74999" w:rsidRDefault="00BC026C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curso y respecto de los (as) servidores (as)</w:t>
            </w:r>
            <w:r w:rsidR="00B039FD" w:rsidRPr="00B74999">
              <w:rPr>
                <w:rFonts w:ascii="Neo Sans Pro Light" w:hAnsi="Neo Sans Pro Light"/>
                <w:sz w:val="20"/>
                <w:szCs w:val="20"/>
              </w:rPr>
              <w:t xml:space="preserve"> públicos (as) que hayan sido sancionados y permanezcan en el sujeto obligado al momento de la actualización de información,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 correspondiente</w:t>
            </w:r>
          </w:p>
          <w:p w:rsidR="00CA5119" w:rsidRPr="00B74999" w:rsidRDefault="00BC026C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a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dos ejercicios anteriores.</w:t>
            </w:r>
          </w:p>
        </w:tc>
      </w:tr>
      <w:tr w:rsidR="00CA5119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B74999" w:rsidRDefault="008756A9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</w:t>
            </w:r>
            <w:r w:rsidR="00532FAA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XIX. </w:t>
            </w:r>
            <w:r w:rsidR="00532FAA" w:rsidRPr="00B74999">
              <w:rPr>
                <w:rFonts w:ascii="Neo Sans Pro Light" w:hAnsi="Neo Sans Pro Light"/>
                <w:sz w:val="20"/>
                <w:szCs w:val="20"/>
              </w:rPr>
              <w:t>Los servicios que ofrecen, señalando los requisitos para acceder a ellos;</w:t>
            </w:r>
          </w:p>
        </w:tc>
        <w:tc>
          <w:tcPr>
            <w:tcW w:w="1276" w:type="dxa"/>
            <w:gridSpan w:val="2"/>
          </w:tcPr>
          <w:p w:rsidR="00CA5119" w:rsidRPr="00B74999" w:rsidRDefault="00532FA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A5119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CA5119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B74999" w:rsidRDefault="008756A9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</w:t>
            </w:r>
            <w:r w:rsidR="00532FAA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XX. </w:t>
            </w:r>
            <w:r w:rsidR="00532FAA" w:rsidRPr="00B74999">
              <w:rPr>
                <w:rFonts w:ascii="Neo Sans Pro Light" w:hAnsi="Neo Sans Pro Light"/>
                <w:sz w:val="20"/>
                <w:szCs w:val="20"/>
              </w:rPr>
              <w:t>Los trámites, requisitos y formatos que ofrecen</w:t>
            </w:r>
          </w:p>
          <w:p w:rsidR="00B039FD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A5119" w:rsidRPr="00B74999" w:rsidRDefault="00532FA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CA5119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CA5119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XXI.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financiera sobre el presupuesto asignado, así como los</w:t>
            </w:r>
          </w:p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informes del ejercicio trimestral del gasto, en términos de la Ley</w:t>
            </w:r>
          </w:p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General de Contabilidad Gubernamental y demás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normatividad</w:t>
            </w:r>
          </w:p>
          <w:p w:rsidR="00CA5119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aplicable;</w:t>
            </w:r>
          </w:p>
        </w:tc>
        <w:tc>
          <w:tcPr>
            <w:tcW w:w="1276" w:type="dxa"/>
            <w:gridSpan w:val="2"/>
          </w:tcPr>
          <w:p w:rsidR="00CA5119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 xml:space="preserve">Trimestral y anual respecto del presupuesto anual asignado y la cuenta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pública</w:t>
            </w:r>
          </w:p>
        </w:tc>
        <w:tc>
          <w:tcPr>
            <w:tcW w:w="4111" w:type="dxa"/>
            <w:gridSpan w:val="6"/>
          </w:tcPr>
          <w:p w:rsidR="00CA5119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o---o</w:t>
            </w:r>
          </w:p>
        </w:tc>
        <w:tc>
          <w:tcPr>
            <w:tcW w:w="1701" w:type="dxa"/>
          </w:tcPr>
          <w:p w:rsidR="00CA5119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seis ejercicios anteriores.</w:t>
            </w:r>
          </w:p>
        </w:tc>
      </w:tr>
      <w:tr w:rsidR="00CA5119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119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CA5119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XXII. 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relativa a la deuda pública, en términos de la normatividad aplicable</w:t>
            </w:r>
          </w:p>
        </w:tc>
        <w:tc>
          <w:tcPr>
            <w:tcW w:w="1276" w:type="dxa"/>
            <w:gridSpan w:val="2"/>
          </w:tcPr>
          <w:p w:rsidR="00CA5119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CA5119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Con datos mensuales</w:t>
            </w:r>
          </w:p>
        </w:tc>
        <w:tc>
          <w:tcPr>
            <w:tcW w:w="1701" w:type="dxa"/>
          </w:tcPr>
          <w:p w:rsidR="00CA5119" w:rsidRPr="00B74999" w:rsidRDefault="00B039F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seis ejercicios anteriores.</w:t>
            </w:r>
          </w:p>
        </w:tc>
      </w:tr>
      <w:tr w:rsidR="00B039FD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XXIV.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Los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informe del resultado de las auditorías al ejercicio presupuestal de</w:t>
            </w:r>
          </w:p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cada sujeto obligado que se realicen y, en su caso, las aclaraciones que</w:t>
            </w:r>
          </w:p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correspondan;</w:t>
            </w:r>
          </w:p>
        </w:tc>
        <w:tc>
          <w:tcPr>
            <w:tcW w:w="1276" w:type="dxa"/>
            <w:gridSpan w:val="2"/>
          </w:tcPr>
          <w:p w:rsidR="00B039FD" w:rsidRPr="00B74999" w:rsidRDefault="00B039F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generada en el ejercicio en curso y la correspondiente a los tres ejercicios anteriores.</w:t>
            </w:r>
          </w:p>
        </w:tc>
      </w:tr>
      <w:tr w:rsidR="00B039FD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XXV.</w:t>
            </w:r>
            <w:r w:rsidR="00603FB1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 xml:space="preserve">El resultado de la </w:t>
            </w:r>
            <w:proofErr w:type="spellStart"/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dictaminación</w:t>
            </w:r>
            <w:proofErr w:type="spellEnd"/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 xml:space="preserve"> de los estados financieros;</w:t>
            </w:r>
          </w:p>
        </w:tc>
        <w:tc>
          <w:tcPr>
            <w:tcW w:w="1276" w:type="dxa"/>
            <w:gridSpan w:val="2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En su caso, 15 días hábiles después de que el contador público independiente entregue una </w:t>
            </w:r>
            <w:proofErr w:type="spellStart"/>
            <w:r w:rsidRPr="00B74999">
              <w:rPr>
                <w:rFonts w:ascii="Neo Sans Pro Light" w:hAnsi="Neo Sans Pro Light"/>
                <w:sz w:val="20"/>
                <w:szCs w:val="20"/>
              </w:rPr>
              <w:t>dictaminación</w:t>
            </w:r>
            <w:proofErr w:type="spell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especial</w:t>
            </w:r>
          </w:p>
        </w:tc>
        <w:tc>
          <w:tcPr>
            <w:tcW w:w="1701" w:type="dxa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 seis ejercicio anteriores</w:t>
            </w:r>
          </w:p>
        </w:tc>
      </w:tr>
      <w:tr w:rsidR="00B039FD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XXVI.</w:t>
            </w:r>
            <w:r w:rsidR="00603FB1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Los montos, criterios, convocatorias y listado de personas físicas o</w:t>
            </w:r>
          </w:p>
          <w:p w:rsidR="00603FB1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morales a quienes, por cualquier motivo, se les asigne o permita usar</w:t>
            </w:r>
          </w:p>
          <w:p w:rsidR="00603FB1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recursos públicos o, en los términos de las disposiciones aplicables,</w:t>
            </w:r>
          </w:p>
          <w:p w:rsidR="00603FB1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realicen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actos de autoridad.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Asimismo, los informes que dichas</w:t>
            </w:r>
          </w:p>
          <w:p w:rsidR="00B039FD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personas les entreguen sobre el uso y destino de dichos recursos;</w:t>
            </w:r>
          </w:p>
        </w:tc>
        <w:tc>
          <w:tcPr>
            <w:tcW w:w="1276" w:type="dxa"/>
            <w:gridSpan w:val="2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4111" w:type="dxa"/>
            <w:gridSpan w:val="6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dos ejercicios anteriores.</w:t>
            </w:r>
          </w:p>
        </w:tc>
      </w:tr>
      <w:tr w:rsidR="00B039FD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XXVII</w:t>
            </w:r>
            <w:r w:rsidR="00603FB1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. 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Las concesiones, contratos, convenios, permisos, licencias o</w:t>
            </w:r>
          </w:p>
          <w:p w:rsidR="00603FB1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autorizaciones otorgados, especificando los titulares de aquéllos,</w:t>
            </w:r>
          </w:p>
          <w:p w:rsidR="00603FB1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debiendo publicarse su objeto, nombre o razón social del titular,</w:t>
            </w:r>
          </w:p>
          <w:p w:rsidR="00603FB1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vigencia, tipo, términos, condiciones, monto y modificaciones, así como</w:t>
            </w:r>
          </w:p>
          <w:p w:rsidR="00603FB1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si el procedimiento involucra el aprovechamiento de bienes, servicios o</w:t>
            </w:r>
          </w:p>
          <w:p w:rsidR="00B039FD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recursos públicos;</w:t>
            </w:r>
          </w:p>
        </w:tc>
        <w:tc>
          <w:tcPr>
            <w:tcW w:w="1276" w:type="dxa"/>
            <w:gridSpan w:val="2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dos ejercicios anteriores.</w:t>
            </w:r>
          </w:p>
        </w:tc>
      </w:tr>
      <w:tr w:rsidR="00B039FD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B039F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XXVIII.</w:t>
            </w:r>
            <w:r w:rsidR="00603FB1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La información de los resultados sobre procedimientos de adjudicación</w:t>
            </w:r>
          </w:p>
          <w:p w:rsidR="00603FB1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directa, invitación restringida y licitación de cualquier naturaleza,</w:t>
            </w:r>
          </w:p>
          <w:p w:rsidR="00603FB1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incluyendo la versión pública del expediente respectivo y de los</w:t>
            </w:r>
          </w:p>
          <w:p w:rsidR="00B039FD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contratos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celebrados, que deberá contener, por lo menos, lo siguiente…</w:t>
            </w:r>
          </w:p>
        </w:tc>
        <w:tc>
          <w:tcPr>
            <w:tcW w:w="1276" w:type="dxa"/>
            <w:gridSpan w:val="2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B039FD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vigente; la generada en el ejercicio en curso y la correspondiente a dos ejercicios anteriores.</w:t>
            </w:r>
          </w:p>
        </w:tc>
      </w:tr>
      <w:tr w:rsidR="00FE6176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FE6176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XXIX</w:t>
            </w:r>
            <w:r w:rsidR="00603FB1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. 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276" w:type="dxa"/>
            <w:gridSpan w:val="2"/>
          </w:tcPr>
          <w:p w:rsidR="00FE6176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B74999" w:rsidRDefault="00FE617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 dos ejercicios anteriores.</w:t>
            </w:r>
          </w:p>
        </w:tc>
      </w:tr>
      <w:tr w:rsidR="00FE6176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FE617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XXX</w:t>
            </w:r>
            <w:r w:rsidR="00603FB1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. 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Las estadísticas que generen en cumplimiento de sus facultades,</w:t>
            </w:r>
          </w:p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competencias o funciones, con la mayor desagregación posible;</w:t>
            </w:r>
          </w:p>
        </w:tc>
        <w:tc>
          <w:tcPr>
            <w:tcW w:w="1276" w:type="dxa"/>
            <w:gridSpan w:val="2"/>
          </w:tcPr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generada en el ejercicio en curso y la correspondiente a los últimos seis ejercicios.</w:t>
            </w:r>
          </w:p>
        </w:tc>
      </w:tr>
      <w:tr w:rsidR="00FE6176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XXXI.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Informe de avances programáticos o presupuestales, balances</w:t>
            </w:r>
          </w:p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generales y su estado financiero;</w:t>
            </w:r>
          </w:p>
        </w:tc>
        <w:tc>
          <w:tcPr>
            <w:tcW w:w="1276" w:type="dxa"/>
            <w:gridSpan w:val="2"/>
          </w:tcPr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A </w:t>
            </w:r>
            <w:proofErr w:type="spellStart"/>
            <w:r w:rsidRPr="00B74999">
              <w:rPr>
                <w:rFonts w:ascii="Neo Sans Pro Light" w:hAnsi="Neo Sans Pro Light"/>
                <w:sz w:val="20"/>
                <w:szCs w:val="20"/>
              </w:rPr>
              <w:t>mas</w:t>
            </w:r>
            <w:proofErr w:type="spell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tardar 30 días naturales después del cierre del periodo que corresponda</w:t>
            </w:r>
          </w:p>
        </w:tc>
        <w:tc>
          <w:tcPr>
            <w:tcW w:w="1701" w:type="dxa"/>
          </w:tcPr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Información del ejercicio en curso y la correspondiente a los </w:t>
            </w:r>
            <w:r w:rsidR="00CB5BC6" w:rsidRPr="00B74999">
              <w:rPr>
                <w:rFonts w:ascii="Neo Sans Pro Light" w:hAnsi="Neo Sans Pro Light"/>
                <w:sz w:val="20"/>
                <w:szCs w:val="20"/>
              </w:rPr>
              <w:t xml:space="preserve">últimos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seis ejercicios</w:t>
            </w:r>
          </w:p>
        </w:tc>
      </w:tr>
      <w:tr w:rsidR="00FE6176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XXXII.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Padrón de proveedores y contratistas;</w:t>
            </w:r>
          </w:p>
        </w:tc>
        <w:tc>
          <w:tcPr>
            <w:tcW w:w="1276" w:type="dxa"/>
            <w:gridSpan w:val="2"/>
          </w:tcPr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inmediato anterior</w:t>
            </w:r>
          </w:p>
        </w:tc>
      </w:tr>
      <w:tr w:rsidR="00FE6176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XXXIII.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Los convenios de coordinación y de concertación con los sectores social</w:t>
            </w:r>
          </w:p>
          <w:p w:rsidR="00FE6176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y privado;</w:t>
            </w:r>
          </w:p>
        </w:tc>
        <w:tc>
          <w:tcPr>
            <w:tcW w:w="1276" w:type="dxa"/>
            <w:gridSpan w:val="2"/>
          </w:tcPr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B74999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B74999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anterior y los instrumentos jurídicos vigentes aun cuando éstos sean de ejercicios anteriores</w:t>
            </w:r>
          </w:p>
        </w:tc>
      </w:tr>
      <w:tr w:rsidR="00FE6176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INTERNET Y EN LA PLATAFORMA NACIONAL DE TRANSPARENCIA</w:t>
            </w:r>
          </w:p>
        </w:tc>
        <w:tc>
          <w:tcPr>
            <w:tcW w:w="3118" w:type="dxa"/>
            <w:gridSpan w:val="2"/>
          </w:tcPr>
          <w:p w:rsidR="00FE6176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XXXIV.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276" w:type="dxa"/>
            <w:gridSpan w:val="2"/>
          </w:tcPr>
          <w:p w:rsidR="00FE6176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</w:t>
            </w:r>
            <w:r w:rsidR="00603FB1" w:rsidRPr="00B74999">
              <w:rPr>
                <w:rFonts w:ascii="Neo Sans Pro Light" w:hAnsi="Neo Sans Pro Light"/>
                <w:sz w:val="20"/>
                <w:szCs w:val="20"/>
              </w:rPr>
              <w:t>mestral</w:t>
            </w:r>
          </w:p>
        </w:tc>
        <w:tc>
          <w:tcPr>
            <w:tcW w:w="4111" w:type="dxa"/>
            <w:gridSpan w:val="6"/>
          </w:tcPr>
          <w:p w:rsidR="00FE6176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su caso, 30 días hábiles después de adquirir o dar de baja algún bien</w:t>
            </w:r>
          </w:p>
        </w:tc>
        <w:tc>
          <w:tcPr>
            <w:tcW w:w="1701" w:type="dxa"/>
          </w:tcPr>
          <w:p w:rsidR="00FE6176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Información vigente respecto al inventario de bienes muebles e inmuebles. En cuanto al inventario de altas y bajas, así como los bienes muebles e inmuebles donados, se conservará la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información vigente y la correspondiente al semestre anterior concluido.</w:t>
            </w:r>
          </w:p>
        </w:tc>
      </w:tr>
      <w:tr w:rsidR="00FE6176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FE6176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XXXV.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Las recomendaciones emitidas por los órganos públicos del Estado</w:t>
            </w:r>
          </w:p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mexicano u organismos internacionales garantes de los derechos</w:t>
            </w:r>
          </w:p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humanos, así como las acciones que han llevado a cabo para su</w:t>
            </w:r>
          </w:p>
          <w:p w:rsidR="00FE6176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atención;</w:t>
            </w:r>
          </w:p>
        </w:tc>
        <w:tc>
          <w:tcPr>
            <w:tcW w:w="1276" w:type="dxa"/>
            <w:gridSpan w:val="2"/>
          </w:tcPr>
          <w:p w:rsidR="00FE6176" w:rsidRPr="00B74999" w:rsidRDefault="00603FB1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FE6176" w:rsidRPr="00B74999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FE6176" w:rsidRPr="00B74999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generada en el ejercicio en curso a partir de la modificación de la recomendación y/o sentencia conservar la información durante dos ejercicios</w:t>
            </w:r>
          </w:p>
        </w:tc>
      </w:tr>
      <w:tr w:rsidR="00603FB1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XXXVI.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Las resoluciones y laudos que se emitan en procesos o procedimientos</w:t>
            </w:r>
          </w:p>
          <w:p w:rsidR="00603FB1" w:rsidRPr="00B74999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seguidos en forma de juicio;</w:t>
            </w:r>
          </w:p>
        </w:tc>
        <w:tc>
          <w:tcPr>
            <w:tcW w:w="1276" w:type="dxa"/>
            <w:gridSpan w:val="2"/>
          </w:tcPr>
          <w:p w:rsidR="00603FB1" w:rsidRPr="00B74999" w:rsidRDefault="00603FB1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603FB1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del ejercicio en curso y la correspondiente al ejercicio anterior</w:t>
            </w:r>
          </w:p>
        </w:tc>
      </w:tr>
      <w:tr w:rsidR="00603FB1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CB5BC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XXXV</w:t>
            </w:r>
            <w:r w:rsidR="00541160" w:rsidRPr="00B74999">
              <w:rPr>
                <w:rFonts w:ascii="Neo Sans Pro Light" w:hAnsi="Neo Sans Pro Light"/>
                <w:b/>
                <w:sz w:val="20"/>
                <w:szCs w:val="20"/>
              </w:rPr>
              <w:t>I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I.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Los mecanismos de participación ciudadana;</w:t>
            </w:r>
          </w:p>
        </w:tc>
        <w:tc>
          <w:tcPr>
            <w:tcW w:w="1276" w:type="dxa"/>
            <w:gridSpan w:val="2"/>
          </w:tcPr>
          <w:p w:rsidR="00603FB1" w:rsidRPr="00B74999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603FB1" w:rsidRPr="00B74999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B74999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del ejercicio en curso y la correspondiente al ejercicio anterior</w:t>
            </w:r>
          </w:p>
        </w:tc>
      </w:tr>
      <w:tr w:rsidR="00603FB1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CB5BC6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XXXV</w:t>
            </w:r>
            <w:r w:rsidR="00541160" w:rsidRPr="00B74999">
              <w:rPr>
                <w:rFonts w:ascii="Neo Sans Pro Light" w:hAnsi="Neo Sans Pro Light"/>
                <w:b/>
                <w:sz w:val="20"/>
                <w:szCs w:val="20"/>
              </w:rPr>
              <w:t>II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I.</w:t>
            </w:r>
            <w:r w:rsidR="00071D3D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>Los programas que ofrecen, incluyendo información sobre la población,</w:t>
            </w:r>
          </w:p>
          <w:p w:rsidR="00071D3D" w:rsidRPr="00B74999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objetivo y destino, así como los trámites, tiempos de respuesta,</w:t>
            </w:r>
          </w:p>
          <w:p w:rsidR="00603FB1" w:rsidRPr="00B74999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requisitos y formatos para acceder a los mismos;</w:t>
            </w:r>
          </w:p>
        </w:tc>
        <w:tc>
          <w:tcPr>
            <w:tcW w:w="1276" w:type="dxa"/>
            <w:gridSpan w:val="2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del ejercicio en curso y la correspondiente a los dos ejercicios anteriores</w:t>
            </w:r>
          </w:p>
        </w:tc>
      </w:tr>
      <w:tr w:rsidR="00603FB1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603FB1" w:rsidRPr="00B74999" w:rsidRDefault="00C94991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6B5226" w:rsidRPr="00B74999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XXX</w:t>
            </w:r>
            <w:r w:rsidR="00CB5BC6" w:rsidRPr="00B74999">
              <w:rPr>
                <w:rFonts w:ascii="Neo Sans Pro Light" w:hAnsi="Neo Sans Pro Light"/>
                <w:b/>
                <w:sz w:val="20"/>
                <w:szCs w:val="20"/>
              </w:rPr>
              <w:t>I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X</w:t>
            </w:r>
            <w:r w:rsidR="00CB5BC6" w:rsidRPr="00B74999">
              <w:rPr>
                <w:rFonts w:ascii="Neo Sans Pro Light" w:hAnsi="Neo Sans Pro Light"/>
                <w:b/>
                <w:sz w:val="20"/>
                <w:szCs w:val="20"/>
              </w:rPr>
              <w:t>.</w:t>
            </w:r>
            <w:r w:rsidR="006B5226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6B5226" w:rsidRPr="00B74999">
              <w:rPr>
                <w:rFonts w:ascii="Neo Sans Pro Light" w:hAnsi="Neo Sans Pro Light"/>
                <w:sz w:val="20"/>
                <w:szCs w:val="20"/>
              </w:rPr>
              <w:t>Las actas, acuerdos y resoluciones del Comité (de Transparencia) de los</w:t>
            </w:r>
          </w:p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sujetos obligados, así como de sus órganos de gobierno, asambleas,</w:t>
            </w:r>
          </w:p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consejos, plenos o sus equivalentes y, en su caso comisiones, comités o</w:t>
            </w:r>
          </w:p>
          <w:p w:rsidR="00603FB1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subcomités, según corresponda;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603FB1" w:rsidRPr="00B74999" w:rsidRDefault="00541160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Semestral, respecto de las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sesiones y resoluciones.</w:t>
            </w:r>
          </w:p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cuanto al calendario de las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sesiones a celebrar, se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publicará la información en el</w:t>
            </w:r>
          </w:p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primer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trimestre del ejercicio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en curso.</w:t>
            </w:r>
          </w:p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Respecto a los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integrantes del comité de transparencia, se</w:t>
            </w:r>
          </w:p>
          <w:p w:rsidR="006B5226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actualizará 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trimestralmente</w:t>
            </w:r>
            <w:r w:rsidR="00071D3D" w:rsidRPr="00B74999">
              <w:rPr>
                <w:rFonts w:ascii="Neo Sans Pro Light" w:hAnsi="Neo Sans Pro Light"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información</w:t>
            </w:r>
          </w:p>
          <w:p w:rsidR="00603FB1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correspondiente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603FB1" w:rsidRPr="00B74999" w:rsidRDefault="006B522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anterior respecto a las sesiones y resoluciones</w:t>
            </w:r>
          </w:p>
        </w:tc>
      </w:tr>
      <w:tr w:rsidR="00603FB1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03FB1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NACIONAL DE TRANSPARENCIA</w:t>
            </w:r>
          </w:p>
        </w:tc>
        <w:tc>
          <w:tcPr>
            <w:tcW w:w="3118" w:type="dxa"/>
            <w:gridSpan w:val="2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XL</w:t>
            </w:r>
            <w:r w:rsidR="00CB5BC6" w:rsidRPr="00B74999">
              <w:rPr>
                <w:rFonts w:ascii="Neo Sans Pro Light" w:hAnsi="Neo Sans Pro Light"/>
                <w:b/>
                <w:sz w:val="20"/>
                <w:szCs w:val="20"/>
              </w:rPr>
              <w:t>.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276" w:type="dxa"/>
            <w:gridSpan w:val="2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603FB1" w:rsidRPr="00B74999" w:rsidRDefault="00541160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generada en el ejercicio en curso y la correspondiente al ejercicio anterior</w:t>
            </w:r>
          </w:p>
        </w:tc>
      </w:tr>
      <w:tr w:rsidR="00071D3D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XLI.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276" w:type="dxa"/>
            <w:gridSpan w:val="2"/>
          </w:tcPr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En su caso, 30 días hábiles después de publicar los resultados del estudio</w:t>
            </w:r>
          </w:p>
        </w:tc>
        <w:tc>
          <w:tcPr>
            <w:tcW w:w="1701" w:type="dxa"/>
          </w:tcPr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del ejercicio en curso y la correspondiente a dos ejercicios anteriores</w:t>
            </w:r>
          </w:p>
        </w:tc>
      </w:tr>
      <w:tr w:rsidR="00071D3D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1027F8" w:rsidRPr="00B74999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XLIII.</w:t>
            </w:r>
            <w:r w:rsidR="001027F8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1027F8" w:rsidRPr="00B74999">
              <w:rPr>
                <w:rFonts w:ascii="Neo Sans Pro Light" w:hAnsi="Neo Sans Pro Light"/>
                <w:sz w:val="20"/>
                <w:szCs w:val="20"/>
              </w:rPr>
              <w:t>Los ingresos recibidos por cualquier concepto, señalando el nombre de</w:t>
            </w:r>
          </w:p>
          <w:p w:rsidR="001027F8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los responsables de recibirlos, administrarlos y ejercerlos, así como el</w:t>
            </w:r>
          </w:p>
          <w:p w:rsidR="00071D3D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destino de cada uno de ellos;</w:t>
            </w:r>
          </w:p>
        </w:tc>
        <w:tc>
          <w:tcPr>
            <w:tcW w:w="1276" w:type="dxa"/>
            <w:gridSpan w:val="2"/>
          </w:tcPr>
          <w:p w:rsidR="00071D3D" w:rsidRPr="00B74999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</w:tcPr>
          <w:p w:rsidR="00071D3D" w:rsidRPr="00B74999" w:rsidRDefault="00071D3D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071D3D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vigente y la correspondiente a dos ejercicios anteriores</w:t>
            </w:r>
          </w:p>
        </w:tc>
      </w:tr>
      <w:tr w:rsidR="00071D3D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XLIV.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276" w:type="dxa"/>
            <w:gridSpan w:val="2"/>
          </w:tcPr>
          <w:p w:rsidR="00071D3D" w:rsidRPr="00B74999" w:rsidRDefault="00071D3D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</w:p>
          <w:p w:rsidR="001027F8" w:rsidRPr="00B74999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Semestral</w:t>
            </w:r>
          </w:p>
        </w:tc>
        <w:tc>
          <w:tcPr>
            <w:tcW w:w="4111" w:type="dxa"/>
            <w:gridSpan w:val="6"/>
          </w:tcPr>
          <w:p w:rsidR="00071D3D" w:rsidRPr="00B74999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071D3D" w:rsidRPr="00B74999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que se genere en el ejercicio en curso y la correspondiente al ejercicio anterior</w:t>
            </w:r>
          </w:p>
        </w:tc>
      </w:tr>
      <w:tr w:rsidR="00071D3D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71D3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</w:tcPr>
          <w:p w:rsidR="00071D3D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XLV.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276" w:type="dxa"/>
            <w:gridSpan w:val="2"/>
          </w:tcPr>
          <w:p w:rsidR="00071D3D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071D3D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071D3D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071D3D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071D3D" w:rsidRPr="00B74999" w:rsidRDefault="00EF757A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LINEAMIENTOS GENERALES PARA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035DC5" w:rsidRPr="00B74999" w:rsidRDefault="001027F8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 XLVI.</w:t>
            </w:r>
            <w:r w:rsidR="00035DC5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35DC5" w:rsidRPr="00B74999">
              <w:rPr>
                <w:rFonts w:ascii="Neo Sans Pro Light" w:hAnsi="Neo Sans Pro Light"/>
                <w:sz w:val="20"/>
                <w:szCs w:val="20"/>
              </w:rPr>
              <w:t xml:space="preserve">Las actas de </w:t>
            </w:r>
            <w:r w:rsidR="00035DC5"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sesiones ordinarias y extraordinarias y sus anexos, así</w:t>
            </w:r>
          </w:p>
          <w:p w:rsidR="00035DC5" w:rsidRPr="00B74999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como las opiniones y recomendaciones que emitan, en su caso, los</w:t>
            </w:r>
          </w:p>
          <w:p w:rsidR="00071D3D" w:rsidRPr="00B74999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consejos consultivos;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071D3D" w:rsidRPr="00B74999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071D3D" w:rsidRPr="00B74999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71D3D" w:rsidRPr="00B74999" w:rsidRDefault="00035DC5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Información que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se genere en el ejercicio en curso y la correspondiente al ejercicio anterior</w:t>
            </w:r>
          </w:p>
        </w:tc>
      </w:tr>
      <w:tr w:rsidR="00071D3D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071D3D" w:rsidRPr="00B74999" w:rsidRDefault="00FE5867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035DC5" w:rsidRPr="00B74999" w:rsidRDefault="001027F8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Fracción XLVII.</w:t>
            </w:r>
            <w:r w:rsidR="00035DC5"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 </w:t>
            </w:r>
            <w:r w:rsidR="00035DC5" w:rsidRPr="00B74999">
              <w:rPr>
                <w:rFonts w:ascii="Neo Sans Pro Light" w:hAnsi="Neo Sans Pro Light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 contenga</w:t>
            </w:r>
          </w:p>
          <w:p w:rsidR="00071D3D" w:rsidRPr="00B74999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exclusivamente el objeto, el alcance temporal y los fundamentos legales del requerimiento, así como, en su caso, la mención de que cuenta con la autorización judicial correspondiente y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071D3D" w:rsidRPr="00B74999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071D3D" w:rsidRPr="00B74999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071D3D" w:rsidRPr="00B74999" w:rsidRDefault="00035DC5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que se genere en el ejercicio en curso  y la correspondiente a los dos ejercicios anteriores</w:t>
            </w:r>
          </w:p>
        </w:tc>
      </w:tr>
      <w:tr w:rsidR="00EF757A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XLVIII.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Cualquier otra información que sea de utilidad o se considere relevante, además de la que, con base en la información estadísticas, responda a las preguntas hechas con más frecuencia por el público.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EF757A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XLIX.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Las cuentas públicas estatales y municipales, así como los documentos relativos, incluyendo el informe del resultado de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su revisión y su dictamen;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LINEAMIENTOS GENERALES PARA LA PUBLICACIÓN DE LA INFORMACIÓN DE LAS OBLIGACIONES ESTABLECIDAS EN LA LEY NÚMERO 875 DE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LI.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Una relación de los servidores públicos comisionados por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cualquier causa, incluso de carácter sindical;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Información del ejercicio en curso y la correspondiente al ejercicio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anterior</w:t>
            </w:r>
          </w:p>
        </w:tc>
      </w:tr>
      <w:tr w:rsidR="00EF757A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LII.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Los índices de expedientes clasificados como reservados, elaborados semestralmente y por rubros temáticos;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LINEAMIENTOS GENERALES PARA LA PUBLICACIÓN DE LA INFORMACIÓN DE LAS OBLIGACIONES ESTABLECIDAS EN LA LEY NÚMERO 875 DE TRANSPARENCIA Y ACCESO A LA INFORMACIÓN PÚBLICA PARA EL ESTADO DE VERACRUZ DE IGNACIO DE LA LLAVE, QUE DEBEN DE DIFUNDIR LOS SUJETOS OBLIGADOS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Fracción LIII.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desclasificada, la cual deberá de permanecer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dos años posteriores a partir de que perdió su clasificación; y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Semestral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de cinco años</w:t>
            </w:r>
          </w:p>
        </w:tc>
      </w:tr>
      <w:tr w:rsidR="00EF757A" w:rsidRPr="00B74999" w:rsidTr="00B74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3118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 xml:space="preserve">Fracción LIV.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t>Cualquier otra información que sea de utilidad o se considere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relevante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>, además de la que, con base en la información estadística, responda a las preguntas hechas con más frecuencia por el público.</w:t>
            </w:r>
          </w:p>
        </w:tc>
        <w:tc>
          <w:tcPr>
            <w:tcW w:w="1276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 sujetará al previsto en los Lineamientos Técnicos Generales</w:t>
            </w:r>
          </w:p>
        </w:tc>
        <w:tc>
          <w:tcPr>
            <w:tcW w:w="4111" w:type="dxa"/>
            <w:gridSpan w:val="6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 sujetará al previsto en los Lineamientos Técnicos Generales</w:t>
            </w:r>
          </w:p>
        </w:tc>
      </w:tr>
      <w:tr w:rsidR="00710346" w:rsidRPr="00B74999" w:rsidTr="00B74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6E21B6" w:rsidRPr="00B74999" w:rsidRDefault="00710346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Último párrafo</w:t>
            </w:r>
          </w:p>
        </w:tc>
        <w:tc>
          <w:tcPr>
            <w:tcW w:w="3118" w:type="dxa"/>
            <w:gridSpan w:val="2"/>
          </w:tcPr>
          <w:p w:rsidR="00710346" w:rsidRPr="00B74999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Los sujetos obligados deberán informar a los organismos garantes y verificar que se publiquen en la Plataforma Nacional, cuales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276" w:type="dxa"/>
            <w:gridSpan w:val="2"/>
          </w:tcPr>
          <w:p w:rsidR="00710346" w:rsidRPr="00B74999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4111" w:type="dxa"/>
            <w:gridSpan w:val="6"/>
          </w:tcPr>
          <w:p w:rsidR="00710346" w:rsidRPr="00B74999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1701" w:type="dxa"/>
          </w:tcPr>
          <w:p w:rsidR="00710346" w:rsidRPr="00B74999" w:rsidRDefault="00710346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 y la generada en el ejercicio en curso</w:t>
            </w:r>
          </w:p>
        </w:tc>
      </w:tr>
      <w:tr w:rsidR="005021A4" w:rsidRPr="00B74999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12"/>
            <w:shd w:val="clear" w:color="auto" w:fill="92CDDC" w:themeFill="accent5" w:themeFillTint="99"/>
          </w:tcPr>
          <w:p w:rsidR="005021A4" w:rsidRPr="00B74999" w:rsidRDefault="005021A4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</w:p>
          <w:p w:rsidR="005021A4" w:rsidRPr="00B74999" w:rsidRDefault="009139C8" w:rsidP="00EF757A">
            <w:pPr>
              <w:jc w:val="both"/>
              <w:rPr>
                <w:rFonts w:ascii="Neo Sans Pro Light" w:hAnsi="Neo Sans Pro Light" w:cstheme="minorHAnsi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 w:cstheme="minorHAnsi"/>
                <w:sz w:val="20"/>
                <w:szCs w:val="20"/>
              </w:rPr>
              <w:t>OBLIGACIONES ESPECÍFICAS</w:t>
            </w:r>
          </w:p>
          <w:p w:rsidR="006616BB" w:rsidRPr="00B74999" w:rsidRDefault="006616BB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</w:p>
        </w:tc>
      </w:tr>
      <w:tr w:rsidR="00DD723F" w:rsidRPr="00B74999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5" w:type="dxa"/>
            <w:gridSpan w:val="12"/>
            <w:shd w:val="clear" w:color="auto" w:fill="92CDDC" w:themeFill="accent5" w:themeFillTint="99"/>
          </w:tcPr>
          <w:p w:rsidR="00DD723F" w:rsidRPr="00B74999" w:rsidRDefault="00DD723F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</w:p>
        </w:tc>
      </w:tr>
      <w:tr w:rsidR="00DD723F" w:rsidRPr="00B74999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92CDDC" w:themeFill="accent5" w:themeFillTint="99"/>
          </w:tcPr>
          <w:p w:rsidR="00DD723F" w:rsidRPr="00B74999" w:rsidRDefault="00DD723F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 al que se deberá sujetar para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su publicación</w:t>
            </w:r>
          </w:p>
          <w:p w:rsidR="00DD723F" w:rsidRPr="00B74999" w:rsidRDefault="00DD723F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92CDDC" w:themeFill="accent5" w:themeFillTint="99"/>
          </w:tcPr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Fracción/inciso</w:t>
            </w:r>
          </w:p>
        </w:tc>
        <w:tc>
          <w:tcPr>
            <w:tcW w:w="1984" w:type="dxa"/>
            <w:gridSpan w:val="4"/>
            <w:shd w:val="clear" w:color="auto" w:fill="92CDDC" w:themeFill="accent5" w:themeFillTint="99"/>
          </w:tcPr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t>Periodo de</w:t>
            </w:r>
          </w:p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Actualización</w:t>
            </w:r>
          </w:p>
        </w:tc>
        <w:tc>
          <w:tcPr>
            <w:tcW w:w="1701" w:type="dxa"/>
            <w:gridSpan w:val="2"/>
            <w:shd w:val="clear" w:color="auto" w:fill="92CDDC" w:themeFill="accent5" w:themeFillTint="99"/>
          </w:tcPr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Observaciones 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acerca de la información a publicar</w:t>
            </w:r>
          </w:p>
        </w:tc>
        <w:tc>
          <w:tcPr>
            <w:tcW w:w="3119" w:type="dxa"/>
            <w:gridSpan w:val="2"/>
            <w:shd w:val="clear" w:color="auto" w:fill="92CDDC" w:themeFill="accent5" w:themeFillTint="99"/>
          </w:tcPr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b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 xml:space="preserve">Periodo Conservación de la </w:t>
            </w:r>
            <w:r w:rsidRPr="00B74999">
              <w:rPr>
                <w:rFonts w:ascii="Neo Sans Pro Light" w:hAnsi="Neo Sans Pro Light"/>
                <w:b/>
                <w:sz w:val="20"/>
                <w:szCs w:val="20"/>
              </w:rPr>
              <w:lastRenderedPageBreak/>
              <w:t>información</w:t>
            </w:r>
          </w:p>
        </w:tc>
      </w:tr>
      <w:tr w:rsidR="005021A4" w:rsidRPr="00B74999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5021A4" w:rsidRPr="00B74999" w:rsidRDefault="00DD723F" w:rsidP="00EF757A">
            <w:pPr>
              <w:jc w:val="both"/>
              <w:rPr>
                <w:rFonts w:ascii="Neo Sans Pro Light" w:hAnsi="Neo Sans Pro Light"/>
                <w:b w:val="0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</w:tcPr>
          <w:p w:rsidR="005021A4" w:rsidRPr="00B74999" w:rsidRDefault="005021A4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a) El Plan Veracruzano de Desarrollo;</w:t>
            </w:r>
          </w:p>
        </w:tc>
        <w:tc>
          <w:tcPr>
            <w:tcW w:w="1984" w:type="dxa"/>
            <w:gridSpan w:val="4"/>
          </w:tcPr>
          <w:p w:rsidR="005021A4" w:rsidRPr="00B74999" w:rsidRDefault="00FD2BB2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 sujetará al previsto en los Lineamientos Técnico Generales</w:t>
            </w:r>
          </w:p>
        </w:tc>
        <w:tc>
          <w:tcPr>
            <w:tcW w:w="1559" w:type="dxa"/>
          </w:tcPr>
          <w:p w:rsidR="005021A4" w:rsidRPr="00B74999" w:rsidRDefault="00FD2BB2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</w:tcPr>
          <w:p w:rsidR="005021A4" w:rsidRPr="00B74999" w:rsidRDefault="00FD2BB2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 sujetará al previsto en los Lineamientos Técnico Generales</w:t>
            </w:r>
          </w:p>
        </w:tc>
      </w:tr>
      <w:tr w:rsidR="00EF757A" w:rsidRPr="00B74999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b) Los objetivos, metas y acciones contenidas en los programas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sectoriales, regionales, institucionales y anuales de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actividades;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La información del ejercicio en curso y la correspondiente al ejercicio anterior</w:t>
            </w:r>
          </w:p>
        </w:tc>
      </w:tr>
      <w:tr w:rsidR="00EF757A" w:rsidRPr="00B74999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 xml:space="preserve">LINEAMIENTOS GENERALES PARA LA PUBLICACIÓN DE LA INFORMACIÓN DE LAS OBLIGACIONES ESTABLECIDAS EN LA LEY NÚMERO 875 DE TRANSPARENCIA Y ACCESO A LA INFORMACIÓN PÚBLICA PARA EL ESTADO DE VERACRUZ DE IGNACIO DE </w:t>
            </w: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c) El presupuesto de egresos y las fórmulas de distribución de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los recursos otorgados;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Anual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 y la correspondiente a todos los ejercicios correspondientes a la administración en curso y por lo menos dos administraciones anteriores</w:t>
            </w:r>
          </w:p>
        </w:tc>
      </w:tr>
      <w:tr w:rsidR="00EF757A" w:rsidRPr="00B74999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d) El listado de expropiaciones decretadas y ejecutadas que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incluya, cuando menos, la fecha de expropiación, el domicilio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y la causa de utilidad pública y las ocupaciones superficiales;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por lo menos una administración anterior</w:t>
            </w:r>
          </w:p>
        </w:tc>
      </w:tr>
      <w:tr w:rsidR="00EF757A" w:rsidRPr="00B74999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e) El nombre, denominación o razón social y clave del registro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federal de los contribuyentes a los que se les hubiera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cancelado o condonado algún crédito fiscal, así como los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proofErr w:type="gramStart"/>
            <w:r w:rsidRPr="00B74999">
              <w:rPr>
                <w:rFonts w:ascii="Neo Sans Pro Light" w:hAnsi="Neo Sans Pro Light"/>
                <w:sz w:val="20"/>
                <w:szCs w:val="20"/>
              </w:rPr>
              <w:t>montos</w:t>
            </w:r>
            <w:proofErr w:type="gramEnd"/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 respectivos. Asimismo, la información estadística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sobre las exenciones previstas en las disposiciones fiscales;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vigente, y la del ejercicio en curso</w:t>
            </w:r>
          </w:p>
        </w:tc>
      </w:tr>
      <w:tr w:rsidR="00DD723F" w:rsidRPr="00B74999" w:rsidTr="00EF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DD723F" w:rsidRPr="00B74999" w:rsidRDefault="00DD723F" w:rsidP="00EF757A">
            <w:pPr>
              <w:jc w:val="both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 xml:space="preserve">LINEAMIENTOS TÉCNICOS GENERALES PARA LA PUBLICACIÓN, HOMOLOGACIÓN Y ESTANDARIZACIÓN DE LA INFORMACIÓN DE LAS OBLIGACIONES ESTABLECIDAS EN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EL TÍTULO QUINTO Y EN LA FRACCIÓN IV DEL ARTÍCULO 31 DE LA LEY GENERAL DE TRANSPARENCIA Y ACCESO A LA INFORMACIÓN PÚBLICA,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</w:tcPr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 xml:space="preserve">g) Las disposiciones administrativas, directamente o a través de la autoridad competente, con el plazo de </w:t>
            </w: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anticipación que</w:t>
            </w:r>
          </w:p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prevean las disposiciones aplicables al sujeto obligado de que se trate, salvo que su difusión pueda comprometer los</w:t>
            </w:r>
          </w:p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efectos que se pretenden lograr con la disposición o se trate de situaciones de emergencia, de  conformidad con dichas</w:t>
            </w:r>
          </w:p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disposiciones;</w:t>
            </w:r>
          </w:p>
        </w:tc>
        <w:tc>
          <w:tcPr>
            <w:tcW w:w="1984" w:type="dxa"/>
            <w:gridSpan w:val="4"/>
          </w:tcPr>
          <w:p w:rsidR="00DD723F" w:rsidRPr="00B74999" w:rsidRDefault="00DD723F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lastRenderedPageBreak/>
              <w:t>Anual</w:t>
            </w:r>
          </w:p>
        </w:tc>
        <w:tc>
          <w:tcPr>
            <w:tcW w:w="1559" w:type="dxa"/>
          </w:tcPr>
          <w:p w:rsidR="00DD723F" w:rsidRPr="00B74999" w:rsidRDefault="00FD2BB2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</w:tcPr>
          <w:p w:rsidR="00DD723F" w:rsidRPr="00B74999" w:rsidRDefault="00FD2BB2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vigente</w:t>
            </w:r>
          </w:p>
        </w:tc>
      </w:tr>
      <w:tr w:rsidR="00EF757A" w:rsidRPr="00B74999" w:rsidTr="00EF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i) La relativa a patronatos, fundaciones y demás organismos a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los que se les destinen recursos públicos para acciones de</w:t>
            </w:r>
          </w:p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beneficio social;</w:t>
            </w:r>
          </w:p>
        </w:tc>
        <w:tc>
          <w:tcPr>
            <w:tcW w:w="1984" w:type="dxa"/>
            <w:gridSpan w:val="4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anterior</w:t>
            </w:r>
          </w:p>
        </w:tc>
      </w:tr>
      <w:tr w:rsidR="00EF757A" w:rsidRPr="00B74999" w:rsidTr="00573C5F">
        <w:trPr>
          <w:trHeight w:val="2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shd w:val="clear" w:color="auto" w:fill="CCC0D9" w:themeFill="accent4" w:themeFillTint="66"/>
          </w:tcPr>
          <w:p w:rsidR="00EF757A" w:rsidRPr="00B74999" w:rsidRDefault="00EF757A" w:rsidP="00EF757A">
            <w:pPr>
              <w:jc w:val="both"/>
              <w:rPr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color w:val="000000"/>
                <w:sz w:val="20"/>
                <w:szCs w:val="20"/>
              </w:rPr>
              <w:lastRenderedPageBreak/>
              <w:t>LINEAMIENTOS GENERALES PARA LA PUBLICACIÓN DE LA INFORMACIÓN DE LAS OBLIGACIONES ESTABLECIDAS EN LA LEY NÚMERO 875 DE TRANSPARENCIA Y ACCESO A LA INFORMACIÓN PÚBLICA PARA EL ESTADO DE VERACRUZ DE IGNACIO DE LA LLAVE, QUE DEBEN DE DIFUNDIR LOS SUJETOS OBLIGADOS EN LOS PORTALES DE INTERNET Y EN LA PLATAFORMA NACIONAL DE TRANSPARENCIA</w:t>
            </w:r>
          </w:p>
        </w:tc>
        <w:tc>
          <w:tcPr>
            <w:tcW w:w="2694" w:type="dxa"/>
            <w:gridSpan w:val="2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k) El listado de las becas y los apoyos que otorgan, así como</w:t>
            </w:r>
          </w:p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los procedimientos y requisitos para obtenerlos;</w:t>
            </w:r>
          </w:p>
        </w:tc>
        <w:tc>
          <w:tcPr>
            <w:tcW w:w="1984" w:type="dxa"/>
            <w:gridSpan w:val="4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Trimestral</w:t>
            </w:r>
          </w:p>
        </w:tc>
        <w:tc>
          <w:tcPr>
            <w:tcW w:w="1559" w:type="dxa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o---o</w:t>
            </w:r>
          </w:p>
        </w:tc>
        <w:tc>
          <w:tcPr>
            <w:tcW w:w="3261" w:type="dxa"/>
            <w:gridSpan w:val="3"/>
          </w:tcPr>
          <w:p w:rsidR="00EF757A" w:rsidRPr="00B74999" w:rsidRDefault="00EF757A" w:rsidP="00EF75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Sans Pro Light" w:hAnsi="Neo Sans Pro Light"/>
                <w:sz w:val="20"/>
                <w:szCs w:val="20"/>
              </w:rPr>
            </w:pPr>
            <w:r w:rsidRPr="00B74999">
              <w:rPr>
                <w:rFonts w:ascii="Neo Sans Pro Light" w:hAnsi="Neo Sans Pro Light"/>
                <w:sz w:val="20"/>
                <w:szCs w:val="20"/>
              </w:rPr>
              <w:t>Información del ejercicio en curso y la correspondiente al ejercicio anterior</w:t>
            </w:r>
          </w:p>
        </w:tc>
      </w:tr>
    </w:tbl>
    <w:p w:rsidR="00513831" w:rsidRPr="00C2400B" w:rsidRDefault="00513831" w:rsidP="00573C5F">
      <w:pPr>
        <w:rPr>
          <w:rFonts w:ascii="Neo Sans Pro Light" w:hAnsi="Neo Sans Pro Light"/>
          <w:sz w:val="18"/>
          <w:szCs w:val="18"/>
        </w:rPr>
      </w:pPr>
    </w:p>
    <w:sectPr w:rsidR="00513831" w:rsidRPr="00C2400B" w:rsidSect="00DD723F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8D" w:rsidRDefault="007A1F8D" w:rsidP="000D6201">
      <w:pPr>
        <w:spacing w:after="0" w:line="240" w:lineRule="auto"/>
      </w:pPr>
      <w:r>
        <w:separator/>
      </w:r>
    </w:p>
  </w:endnote>
  <w:endnote w:type="continuationSeparator" w:id="0">
    <w:p w:rsidR="007A1F8D" w:rsidRDefault="007A1F8D" w:rsidP="000D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Neo Sans Pro Light">
    <w:panose1 w:val="020B03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8D" w:rsidRDefault="007A1F8D" w:rsidP="000D6201">
      <w:pPr>
        <w:spacing w:after="0" w:line="240" w:lineRule="auto"/>
      </w:pPr>
      <w:r>
        <w:separator/>
      </w:r>
    </w:p>
  </w:footnote>
  <w:footnote w:type="continuationSeparator" w:id="0">
    <w:p w:rsidR="007A1F8D" w:rsidRDefault="007A1F8D" w:rsidP="000D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B2" w:rsidRDefault="00FD2BB2" w:rsidP="00E519E9">
    <w:pPr>
      <w:pStyle w:val="Encabezado"/>
      <w:rPr>
        <w:b/>
        <w:bCs/>
        <w:noProof/>
        <w:lang w:eastAsia="es-MX"/>
      </w:rPr>
    </w:pPr>
    <w:r w:rsidRPr="00E519E9">
      <w:rPr>
        <w:rFonts w:ascii="Calibri" w:eastAsia="Calibri" w:hAnsi="Calibri" w:cs="Times New Roman"/>
        <w:noProof/>
        <w:color w:val="404040"/>
        <w:lang w:eastAsia="es-MX"/>
      </w:rPr>
      <w:drawing>
        <wp:anchor distT="0" distB="0" distL="114300" distR="114300" simplePos="0" relativeHeight="251659264" behindDoc="1" locked="0" layoutInCell="1" allowOverlap="1" wp14:anchorId="47BA8D35" wp14:editId="5AC80F42">
          <wp:simplePos x="0" y="0"/>
          <wp:positionH relativeFrom="column">
            <wp:posOffset>-1157986</wp:posOffset>
          </wp:positionH>
          <wp:positionV relativeFrom="paragraph">
            <wp:posOffset>-704113</wp:posOffset>
          </wp:positionV>
          <wp:extent cx="7815580" cy="183261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183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BB2" w:rsidRDefault="00FD2BB2" w:rsidP="00E519E9">
    <w:pPr>
      <w:pStyle w:val="Encabezado"/>
      <w:rPr>
        <w:b/>
        <w:bCs/>
        <w:noProof/>
        <w:lang w:eastAsia="es-MX"/>
      </w:rPr>
    </w:pPr>
  </w:p>
  <w:p w:rsidR="00FD2BB2" w:rsidRDefault="00FD2BB2" w:rsidP="00E519E9">
    <w:pPr>
      <w:pStyle w:val="Encabezado"/>
      <w:jc w:val="center"/>
      <w:rPr>
        <w:b/>
        <w:bCs/>
        <w:noProof/>
        <w:lang w:eastAsia="es-MX"/>
      </w:rPr>
    </w:pPr>
  </w:p>
  <w:p w:rsidR="00FD2BB2" w:rsidRDefault="00FD2BB2" w:rsidP="00E519E9">
    <w:pPr>
      <w:pStyle w:val="Encabezado"/>
      <w:jc w:val="center"/>
      <w:rPr>
        <w:b/>
        <w:bCs/>
        <w:noProof/>
        <w:lang w:eastAsia="es-MX"/>
      </w:rPr>
    </w:pPr>
  </w:p>
  <w:p w:rsidR="00FD2BB2" w:rsidRPr="00EF757A" w:rsidRDefault="00FD2BB2" w:rsidP="00C94991">
    <w:pPr>
      <w:pStyle w:val="Encabezado"/>
      <w:jc w:val="center"/>
      <w:rPr>
        <w:rStyle w:val="Textoennegrita"/>
        <w:sz w:val="24"/>
        <w:szCs w:val="24"/>
      </w:rPr>
    </w:pPr>
    <w:r w:rsidRPr="00EF757A">
      <w:rPr>
        <w:rStyle w:val="Textoennegrita"/>
        <w:sz w:val="24"/>
        <w:szCs w:val="24"/>
      </w:rPr>
      <w:t>TABLA DE ACTUALIZACIÓN Y CONSERVACIÓN DE LA INFORMACIÓN PÚBLICA DERIVADA DE LAS OBLIGACIONES DE TRANSPARENCIA GENERALES Y ESPECÍFICAS.</w:t>
    </w:r>
  </w:p>
  <w:p w:rsidR="00FD2BB2" w:rsidRPr="00EF757A" w:rsidRDefault="00FD2BB2" w:rsidP="00C94991">
    <w:pPr>
      <w:pStyle w:val="Encabezado"/>
      <w:jc w:val="center"/>
      <w:rPr>
        <w:rStyle w:val="Textoennegrita"/>
        <w:sz w:val="24"/>
        <w:szCs w:val="24"/>
      </w:rPr>
    </w:pPr>
    <w:r w:rsidRPr="00EF757A">
      <w:rPr>
        <w:rStyle w:val="Textoennegrita"/>
        <w:sz w:val="24"/>
        <w:szCs w:val="24"/>
      </w:rPr>
      <w:t>APLICABLES A LA SECRETARIA DE FINANZAS Y PLANEACIÓN DEL ESTADO DE VERACRUZ DE IGNACIO DE LA LLAVE.</w:t>
    </w:r>
  </w:p>
  <w:p w:rsidR="00FD2BB2" w:rsidRPr="00EF757A" w:rsidRDefault="00FD2BB2" w:rsidP="00C94991">
    <w:pPr>
      <w:pStyle w:val="Encabezad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1"/>
    <w:rsid w:val="00035DC5"/>
    <w:rsid w:val="00071D3D"/>
    <w:rsid w:val="000D6201"/>
    <w:rsid w:val="001027F8"/>
    <w:rsid w:val="001539AB"/>
    <w:rsid w:val="00287895"/>
    <w:rsid w:val="00300801"/>
    <w:rsid w:val="0042422C"/>
    <w:rsid w:val="005021A4"/>
    <w:rsid w:val="00513831"/>
    <w:rsid w:val="0053087E"/>
    <w:rsid w:val="00532FAA"/>
    <w:rsid w:val="00541160"/>
    <w:rsid w:val="00573C5F"/>
    <w:rsid w:val="00603FB1"/>
    <w:rsid w:val="006616BB"/>
    <w:rsid w:val="006B5226"/>
    <w:rsid w:val="006E21B6"/>
    <w:rsid w:val="00710346"/>
    <w:rsid w:val="00763EF1"/>
    <w:rsid w:val="007A1F8D"/>
    <w:rsid w:val="007D48A1"/>
    <w:rsid w:val="00850BAB"/>
    <w:rsid w:val="008756A9"/>
    <w:rsid w:val="009139C8"/>
    <w:rsid w:val="009D50D3"/>
    <w:rsid w:val="00A25FF5"/>
    <w:rsid w:val="00AD4479"/>
    <w:rsid w:val="00AD68DD"/>
    <w:rsid w:val="00B039FD"/>
    <w:rsid w:val="00B74999"/>
    <w:rsid w:val="00BC026C"/>
    <w:rsid w:val="00C2400B"/>
    <w:rsid w:val="00C84B21"/>
    <w:rsid w:val="00C94991"/>
    <w:rsid w:val="00CA5119"/>
    <w:rsid w:val="00CB5BC6"/>
    <w:rsid w:val="00DA5DC0"/>
    <w:rsid w:val="00DD723F"/>
    <w:rsid w:val="00E519E9"/>
    <w:rsid w:val="00EF0A33"/>
    <w:rsid w:val="00EF757A"/>
    <w:rsid w:val="00FD2BB2"/>
    <w:rsid w:val="00FE5867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201"/>
  </w:style>
  <w:style w:type="paragraph" w:styleId="Piedepgina">
    <w:name w:val="footer"/>
    <w:basedOn w:val="Normal"/>
    <w:link w:val="Piedepgina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201"/>
  </w:style>
  <w:style w:type="character" w:styleId="Textoennegrita">
    <w:name w:val="Strong"/>
    <w:basedOn w:val="Fuentedeprrafopredeter"/>
    <w:uiPriority w:val="22"/>
    <w:qFormat/>
    <w:rsid w:val="000D620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78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895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9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EF1"/>
    <w:rPr>
      <w:color w:val="800080" w:themeColor="followedHyperlink"/>
      <w:u w:val="single"/>
    </w:rPr>
  </w:style>
  <w:style w:type="table" w:styleId="Listaclara-nfasis5">
    <w:name w:val="Light List Accent 5"/>
    <w:basedOn w:val="Tablanormal"/>
    <w:uiPriority w:val="61"/>
    <w:rsid w:val="00DD72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48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201"/>
  </w:style>
  <w:style w:type="paragraph" w:styleId="Piedepgina">
    <w:name w:val="footer"/>
    <w:basedOn w:val="Normal"/>
    <w:link w:val="PiedepginaCar"/>
    <w:uiPriority w:val="99"/>
    <w:unhideWhenUsed/>
    <w:rsid w:val="000D6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201"/>
  </w:style>
  <w:style w:type="character" w:styleId="Textoennegrita">
    <w:name w:val="Strong"/>
    <w:basedOn w:val="Fuentedeprrafopredeter"/>
    <w:uiPriority w:val="22"/>
    <w:qFormat/>
    <w:rsid w:val="000D620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78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895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89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EF1"/>
    <w:rPr>
      <w:color w:val="800080" w:themeColor="followedHyperlink"/>
      <w:u w:val="single"/>
    </w:rPr>
  </w:style>
  <w:style w:type="table" w:styleId="Listaclara-nfasis5">
    <w:name w:val="Light List Accent 5"/>
    <w:basedOn w:val="Tablanormal"/>
    <w:uiPriority w:val="61"/>
    <w:rsid w:val="00DD72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0E31-CE7B-4C48-96FC-027A719F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6231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Conde Hernández</dc:creator>
  <cp:lastModifiedBy>Belén Talía Aguirre Benítez</cp:lastModifiedBy>
  <cp:revision>2</cp:revision>
  <dcterms:created xsi:type="dcterms:W3CDTF">2018-05-01T05:54:00Z</dcterms:created>
  <dcterms:modified xsi:type="dcterms:W3CDTF">2018-05-01T05:54:00Z</dcterms:modified>
</cp:coreProperties>
</file>