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A8428" w14:textId="77777777" w:rsidR="00580787" w:rsidRPr="00A031D2" w:rsidRDefault="00580787" w:rsidP="00580787">
      <w:pPr>
        <w:pStyle w:val="Ttulo"/>
        <w:outlineLvl w:val="0"/>
        <w:rPr>
          <w:rFonts w:ascii="Arial" w:hAnsi="Arial" w:cs="Arial"/>
          <w:sz w:val="32"/>
          <w:szCs w:val="32"/>
        </w:rPr>
      </w:pPr>
      <w:r w:rsidRPr="00A031D2">
        <w:rPr>
          <w:rFonts w:ascii="Arial" w:hAnsi="Arial" w:cs="Arial"/>
          <w:sz w:val="32"/>
          <w:szCs w:val="32"/>
        </w:rPr>
        <w:t xml:space="preserve">Contribución Local: Derechos por Suministro de Agua </w:t>
      </w:r>
    </w:p>
    <w:p w14:paraId="60BCDA75" w14:textId="77777777" w:rsidR="00580787" w:rsidRPr="00A031D2" w:rsidRDefault="00580787" w:rsidP="00580787">
      <w:pPr>
        <w:pStyle w:val="Ttulo"/>
        <w:rPr>
          <w:rFonts w:ascii="Arial" w:hAnsi="Arial" w:cs="Arial"/>
          <w:sz w:val="32"/>
          <w:szCs w:val="32"/>
        </w:rPr>
      </w:pPr>
    </w:p>
    <w:p w14:paraId="481591DF" w14:textId="77777777" w:rsidR="00580787" w:rsidRPr="00A031D2" w:rsidRDefault="00580787" w:rsidP="00580787">
      <w:pPr>
        <w:pStyle w:val="Ttulo"/>
        <w:outlineLvl w:val="0"/>
        <w:rPr>
          <w:rFonts w:ascii="Arial" w:hAnsi="Arial" w:cs="Arial"/>
          <w:sz w:val="32"/>
          <w:szCs w:val="32"/>
        </w:rPr>
      </w:pPr>
      <w:r w:rsidRPr="00A031D2">
        <w:rPr>
          <w:rFonts w:ascii="Arial" w:hAnsi="Arial" w:cs="Arial"/>
          <w:sz w:val="32"/>
          <w:szCs w:val="32"/>
        </w:rPr>
        <w:t>CUESTIONARIO EJERCICIO 20</w:t>
      </w:r>
      <w:r>
        <w:rPr>
          <w:rFonts w:ascii="Arial" w:hAnsi="Arial" w:cs="Arial"/>
          <w:sz w:val="32"/>
          <w:szCs w:val="32"/>
        </w:rPr>
        <w:t>24</w:t>
      </w:r>
    </w:p>
    <w:p w14:paraId="7E89E9E8" w14:textId="77777777" w:rsidR="00580787" w:rsidRPr="00A031D2" w:rsidRDefault="00580787" w:rsidP="00580787">
      <w:pPr>
        <w:pStyle w:val="Ttulo"/>
        <w:rPr>
          <w:rFonts w:ascii="Arial" w:hAnsi="Arial" w:cs="Arial"/>
          <w:sz w:val="32"/>
          <w:szCs w:val="32"/>
        </w:rPr>
      </w:pPr>
    </w:p>
    <w:p w14:paraId="0BDF5794" w14:textId="77777777" w:rsidR="00580787" w:rsidRPr="00A031D2" w:rsidRDefault="00580787" w:rsidP="00580787">
      <w:pPr>
        <w:rPr>
          <w:rFonts w:ascii="Arial" w:hAnsi="Arial" w:cs="Arial"/>
          <w:sz w:val="32"/>
          <w:szCs w:val="32"/>
        </w:rPr>
      </w:pPr>
    </w:p>
    <w:p w14:paraId="122F8AA1" w14:textId="4EA64C3A" w:rsidR="00580787" w:rsidRPr="00775A1C" w:rsidRDefault="00580787" w:rsidP="00116228">
      <w:pPr>
        <w:tabs>
          <w:tab w:val="left" w:pos="2835"/>
        </w:tabs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15BD4" wp14:editId="1FCCBF3E">
                <wp:simplePos x="0" y="0"/>
                <wp:positionH relativeFrom="column">
                  <wp:posOffset>3819525</wp:posOffset>
                </wp:positionH>
                <wp:positionV relativeFrom="paragraph">
                  <wp:posOffset>184150</wp:posOffset>
                </wp:positionV>
                <wp:extent cx="1714500" cy="0"/>
                <wp:effectExtent l="9525" t="12700" r="9525" b="635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BA30C24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5pt,14.5pt" to="435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5S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H2lOX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"/>
            </w:pict>
          </mc:Fallback>
        </mc:AlternateContent>
      </w:r>
      <w:r w:rsidRPr="00A031D2">
        <w:rPr>
          <w:rFonts w:ascii="Arial" w:hAnsi="Arial" w:cs="Arial"/>
          <w:b/>
          <w:sz w:val="32"/>
          <w:szCs w:val="32"/>
        </w:rPr>
        <w:t xml:space="preserve">                  </w:t>
      </w:r>
      <w:r>
        <w:rPr>
          <w:rFonts w:ascii="Arial" w:hAnsi="Arial" w:cs="Arial"/>
          <w:b/>
          <w:sz w:val="32"/>
          <w:szCs w:val="32"/>
        </w:rPr>
        <w:tab/>
        <w:t xml:space="preserve">Entidad </w:t>
      </w:r>
      <w:r w:rsidRPr="00116228">
        <w:rPr>
          <w:rFonts w:ascii="Arial" w:hAnsi="Arial" w:cs="Arial"/>
          <w:b/>
          <w:sz w:val="32"/>
          <w:szCs w:val="32"/>
        </w:rPr>
        <w:t>Federativa:</w:t>
      </w:r>
      <w:r w:rsidR="00116228">
        <w:rPr>
          <w:rFonts w:ascii="Arial" w:hAnsi="Arial" w:cs="Arial"/>
          <w:b/>
          <w:sz w:val="32"/>
          <w:szCs w:val="32"/>
        </w:rPr>
        <w:t xml:space="preserve"> Veracruz, </w:t>
      </w:r>
      <w:r w:rsidR="00116228">
        <w:rPr>
          <w:rFonts w:ascii="Arial" w:hAnsi="Arial" w:cs="Arial"/>
          <w:b/>
          <w:sz w:val="32"/>
          <w:szCs w:val="32"/>
          <w:u w:val="single"/>
        </w:rPr>
        <w:t>M</w:t>
      </w:r>
      <w:r w:rsidR="00116228" w:rsidRPr="00116228">
        <w:rPr>
          <w:rFonts w:ascii="Arial" w:hAnsi="Arial" w:cs="Arial"/>
          <w:b/>
          <w:sz w:val="32"/>
          <w:szCs w:val="32"/>
          <w:u w:val="single"/>
        </w:rPr>
        <w:t>unicipio Banderilla</w:t>
      </w:r>
      <w:r w:rsidR="00116228">
        <w:rPr>
          <w:rFonts w:ascii="Arial" w:hAnsi="Arial" w:cs="Arial"/>
          <w:b/>
          <w:sz w:val="32"/>
          <w:szCs w:val="32"/>
        </w:rPr>
        <w:t xml:space="preserve"> </w:t>
      </w:r>
    </w:p>
    <w:p w14:paraId="44E60F5D" w14:textId="77777777" w:rsidR="00580787" w:rsidRPr="00A031D2" w:rsidRDefault="00580787" w:rsidP="00580787">
      <w:pPr>
        <w:jc w:val="both"/>
        <w:rPr>
          <w:rFonts w:ascii="Arial" w:hAnsi="Arial" w:cs="Arial"/>
          <w:sz w:val="32"/>
          <w:szCs w:val="32"/>
        </w:rPr>
      </w:pPr>
    </w:p>
    <w:p w14:paraId="48E84A90" w14:textId="77777777" w:rsidR="00580787" w:rsidRPr="00925D03" w:rsidRDefault="00580787" w:rsidP="00580787">
      <w:pPr>
        <w:jc w:val="both"/>
        <w:rPr>
          <w:rFonts w:ascii="Arial" w:hAnsi="Arial" w:cs="Arial"/>
        </w:rPr>
      </w:pPr>
    </w:p>
    <w:p w14:paraId="12813FBF" w14:textId="77777777" w:rsidR="00580787" w:rsidRPr="00256AB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 xml:space="preserve">1. Señale los elementos constitutivos vigentes del año que se informa </w:t>
      </w:r>
      <w:r>
        <w:rPr>
          <w:rFonts w:ascii="Arial" w:hAnsi="Arial" w:cs="Arial"/>
        </w:rPr>
        <w:t>de los Derechos por el S</w:t>
      </w:r>
      <w:r w:rsidRPr="00256AB7">
        <w:rPr>
          <w:rFonts w:ascii="Arial" w:hAnsi="Arial" w:cs="Arial"/>
        </w:rPr>
        <w:t xml:space="preserve">uministro de </w:t>
      </w:r>
      <w:r>
        <w:rPr>
          <w:rFonts w:ascii="Arial" w:hAnsi="Arial" w:cs="Arial"/>
        </w:rPr>
        <w:t>A</w:t>
      </w:r>
      <w:r w:rsidRPr="00256AB7">
        <w:rPr>
          <w:rFonts w:ascii="Arial" w:hAnsi="Arial" w:cs="Arial"/>
        </w:rPr>
        <w:t>gua, indicando el ordenamiento legal y el número de artículo en el que se establece. (Es necesario que se anexen los ordenamientos legales donde se precisan, en caso de ser diferentes entre los municipios, agrúpelos por similitud y señale las diferencias entre ellos).</w:t>
      </w:r>
    </w:p>
    <w:p w14:paraId="0377362B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0F65B071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4B2EA7F5" w14:textId="77777777" w:rsidR="0058078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 xml:space="preserve">2. La determinación del consumo de agua se realiza mediante: </w:t>
      </w:r>
    </w:p>
    <w:p w14:paraId="57EE31BA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67F69099" w14:textId="77777777" w:rsidR="00580787" w:rsidRPr="00256AB7" w:rsidDel="009A1D38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 xml:space="preserve">                      </w:t>
      </w:r>
      <w:bookmarkStart w:id="0" w:name="_MON_1422439410"/>
      <w:bookmarkEnd w:id="0"/>
    </w:p>
    <w:tbl>
      <w:tblPr>
        <w:tblW w:w="46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9"/>
        <w:gridCol w:w="1246"/>
        <w:gridCol w:w="1446"/>
      </w:tblGrid>
      <w:tr w:rsidR="00580787" w:rsidRPr="005C4F0C" w14:paraId="0FC1937A" w14:textId="77777777" w:rsidTr="004740DC">
        <w:trPr>
          <w:trHeight w:val="413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162A3A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5EDB72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No. Tomas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157F4D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Recaudación</w:t>
            </w:r>
          </w:p>
        </w:tc>
      </w:tr>
      <w:tr w:rsidR="00580787" w:rsidRPr="005C4F0C" w14:paraId="7CBF3BDE" w14:textId="77777777" w:rsidTr="004740DC">
        <w:trPr>
          <w:trHeight w:val="260"/>
          <w:jc w:val="center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562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A. Número total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DDB6" w14:textId="34C18002" w:rsidR="00580787" w:rsidRPr="005C4F0C" w:rsidRDefault="00116228" w:rsidP="00116228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42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7,495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4FEE" w14:textId="0CD7DD5E" w:rsidR="00580787" w:rsidRPr="00442FDF" w:rsidRDefault="00442FDF" w:rsidP="00116228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42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100% </w:t>
            </w:r>
          </w:p>
        </w:tc>
      </w:tr>
      <w:tr w:rsidR="00580787" w:rsidRPr="005C4F0C" w14:paraId="326A2B1D" w14:textId="77777777" w:rsidTr="004740DC">
        <w:trPr>
          <w:trHeight w:val="260"/>
          <w:jc w:val="center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AEC1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B. Aparato medidor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0CBC" w14:textId="00BC29BE" w:rsidR="00580787" w:rsidRPr="005C4F0C" w:rsidRDefault="00116228" w:rsidP="00116228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</w:t>
            </w:r>
            <w:r w:rsidR="00442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7458" w14:textId="45EE42F3" w:rsidR="00580787" w:rsidRPr="00442FDF" w:rsidRDefault="00442FDF" w:rsidP="00116228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42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98.69%</w:t>
            </w:r>
          </w:p>
        </w:tc>
      </w:tr>
      <w:tr w:rsidR="00580787" w:rsidRPr="005C4F0C" w14:paraId="1C33B46A" w14:textId="77777777" w:rsidTr="004740DC">
        <w:trPr>
          <w:trHeight w:val="260"/>
          <w:jc w:val="center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B487" w14:textId="41FEB2CF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Cuota Fija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7357" w14:textId="3DAB9683" w:rsidR="00580787" w:rsidRPr="005C4F0C" w:rsidRDefault="00116228" w:rsidP="00116228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9158" w14:textId="4C5247BB" w:rsidR="00580787" w:rsidRPr="00442FDF" w:rsidRDefault="00442FDF" w:rsidP="00116228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42FD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1.31%</w:t>
            </w:r>
          </w:p>
        </w:tc>
      </w:tr>
      <w:tr w:rsidR="00580787" w:rsidRPr="005C4F0C" w14:paraId="4A5EEAE3" w14:textId="77777777" w:rsidTr="004740DC">
        <w:trPr>
          <w:trHeight w:val="260"/>
          <w:jc w:val="center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F903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D. Otra(Especifique)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ABE6" w14:textId="65C9B3CD" w:rsidR="00580787" w:rsidRPr="005C4F0C" w:rsidRDefault="0001140D" w:rsidP="0001140D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N/D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7F28" w14:textId="53AD1D44" w:rsidR="00580787" w:rsidRPr="005C4F0C" w:rsidRDefault="0001140D" w:rsidP="00116228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N/D</w:t>
            </w:r>
          </w:p>
        </w:tc>
      </w:tr>
    </w:tbl>
    <w:p w14:paraId="2E531D68" w14:textId="77777777" w:rsidR="00442FDF" w:rsidRDefault="00442FDF" w:rsidP="00580787">
      <w:pPr>
        <w:jc w:val="both"/>
        <w:rPr>
          <w:rFonts w:ascii="Arial" w:hAnsi="Arial" w:cs="Arial"/>
          <w:color w:val="000000"/>
        </w:rPr>
      </w:pPr>
    </w:p>
    <w:p w14:paraId="4C226FD9" w14:textId="0B96AC0D" w:rsidR="00580787" w:rsidRPr="00256AB7" w:rsidRDefault="00580787" w:rsidP="00580787">
      <w:pPr>
        <w:jc w:val="both"/>
        <w:rPr>
          <w:rFonts w:ascii="Arial" w:hAnsi="Arial" w:cs="Arial"/>
          <w:color w:val="000000"/>
        </w:rPr>
      </w:pPr>
      <w:r w:rsidRPr="00256AB7">
        <w:rPr>
          <w:rFonts w:ascii="Arial" w:hAnsi="Arial" w:cs="Arial"/>
          <w:color w:val="000000"/>
        </w:rPr>
        <w:t>3. En caso de que exista un costo diferencial en función de la cantidad de metros cúbicos consumidos, especifique éstos y señale la recaudación que se obtiene por cada uno de ellos.</w:t>
      </w:r>
    </w:p>
    <w:p w14:paraId="6029AB13" w14:textId="77777777" w:rsidR="00580787" w:rsidRDefault="00580787" w:rsidP="00580787">
      <w:pPr>
        <w:jc w:val="both"/>
        <w:rPr>
          <w:rFonts w:ascii="Arial" w:hAnsi="Arial" w:cs="Arial"/>
        </w:rPr>
      </w:pPr>
    </w:p>
    <w:p w14:paraId="3994F08A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tbl>
      <w:tblPr>
        <w:tblW w:w="3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218"/>
        <w:gridCol w:w="1442"/>
      </w:tblGrid>
      <w:tr w:rsidR="00580787" w:rsidRPr="005C4F0C" w14:paraId="0E30C17A" w14:textId="77777777" w:rsidTr="00B609C3">
        <w:trPr>
          <w:trHeight w:val="731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DCA28B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Municipio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854821E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Consumo metros cúbicos (ejem.)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1087A6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Recaudación</w:t>
            </w:r>
          </w:p>
        </w:tc>
      </w:tr>
      <w:tr w:rsidR="00580787" w:rsidRPr="005C4F0C" w14:paraId="3FCDEBD3" w14:textId="77777777" w:rsidTr="00B609C3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472" w14:textId="0B026AEA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116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Banderilla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6349" w14:textId="198BEE92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0-</w:t>
            </w:r>
            <w:r w:rsidR="00B609C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A363" w14:textId="66D84C6E" w:rsidR="00580787" w:rsidRPr="005C4F0C" w:rsidRDefault="00580787" w:rsidP="0001140D">
            <w:pPr>
              <w:ind w:right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116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$10,675,406.42</w:t>
            </w:r>
          </w:p>
        </w:tc>
      </w:tr>
      <w:tr w:rsidR="00580787" w:rsidRPr="005C4F0C" w14:paraId="5C22FC99" w14:textId="77777777" w:rsidTr="00B609C3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D5D7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914B" w14:textId="4C0E87D2" w:rsidR="00580787" w:rsidRPr="005C4F0C" w:rsidRDefault="00B609C3" w:rsidP="004740DC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</w:t>
            </w:r>
            <w:r w:rsidR="00580787"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.1-100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AB36" w14:textId="67247B13" w:rsidR="00580787" w:rsidRPr="005C4F0C" w:rsidRDefault="00580787" w:rsidP="0001140D">
            <w:pPr>
              <w:ind w:right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116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$ 46,204.58</w:t>
            </w:r>
          </w:p>
        </w:tc>
      </w:tr>
      <w:tr w:rsidR="00580787" w:rsidRPr="005C4F0C" w14:paraId="5934E082" w14:textId="77777777" w:rsidTr="00B609C3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6C72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3CB5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100.1-x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F027" w14:textId="4719DC59" w:rsidR="00580787" w:rsidRPr="005C4F0C" w:rsidRDefault="00580787" w:rsidP="0001140D">
            <w:pPr>
              <w:ind w:right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116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$ 23,639.55</w:t>
            </w:r>
          </w:p>
        </w:tc>
      </w:tr>
    </w:tbl>
    <w:p w14:paraId="40A96EBB" w14:textId="77777777" w:rsidR="00580787" w:rsidRPr="00256AB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 xml:space="preserve">                                     </w:t>
      </w:r>
    </w:p>
    <w:p w14:paraId="3F09CE5B" w14:textId="77777777" w:rsidR="00580787" w:rsidRDefault="00580787" w:rsidP="00580787">
      <w:pPr>
        <w:jc w:val="both"/>
        <w:rPr>
          <w:rFonts w:ascii="Arial" w:hAnsi="Arial" w:cs="Arial"/>
        </w:rPr>
      </w:pPr>
    </w:p>
    <w:p w14:paraId="763E4B67" w14:textId="3348AB38" w:rsidR="0058078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4. De existir diferencia en el cobro entre el servicio de uso doméstico y el no doméstico, indique en qué consiste.</w:t>
      </w:r>
    </w:p>
    <w:p w14:paraId="05DD644E" w14:textId="195DB976" w:rsidR="0001140D" w:rsidRDefault="0001140D" w:rsidP="00580787">
      <w:pPr>
        <w:jc w:val="both"/>
        <w:rPr>
          <w:rFonts w:ascii="Arial" w:hAnsi="Arial" w:cs="Arial"/>
        </w:rPr>
      </w:pPr>
    </w:p>
    <w:p w14:paraId="3BA0B564" w14:textId="5E93BA16" w:rsidR="0001140D" w:rsidRPr="0001140D" w:rsidRDefault="0001140D" w:rsidP="005807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R.- La estructura tarifaria corresponde a clasificar los usuarios en domésticos de cinco tipos, comerciales alto y bajo consumo, industriales y uso publico cada uno de ellos con una tarifa diferente y adicionalmente la misma estructura tarifaria establece rangos de </w:t>
      </w:r>
      <w:r>
        <w:rPr>
          <w:rFonts w:ascii="Arial" w:hAnsi="Arial" w:cs="Arial"/>
        </w:rPr>
        <w:lastRenderedPageBreak/>
        <w:t>consumo que inician de 0 a 10 y terminan de más 60 m</w:t>
      </w:r>
      <w:r w:rsidRPr="0001140D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/ mes</w:t>
      </w:r>
      <w:r w:rsidR="00325F97">
        <w:rPr>
          <w:rFonts w:ascii="Arial" w:hAnsi="Arial" w:cs="Arial"/>
        </w:rPr>
        <w:t xml:space="preserve"> (se anexan tarifas por rango y tipo de usuario)</w:t>
      </w:r>
    </w:p>
    <w:p w14:paraId="7410148A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27F0F58F" w14:textId="6456C58B" w:rsidR="0058078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Indique si en las cuotas por s</w:t>
      </w:r>
      <w:r w:rsidRPr="00256AB7">
        <w:rPr>
          <w:rFonts w:ascii="Arial" w:hAnsi="Arial" w:cs="Arial"/>
        </w:rPr>
        <w:t>ervicio de suministro de agua se encuentran incluidos otros servicios y especifique cuáles son.</w:t>
      </w:r>
    </w:p>
    <w:p w14:paraId="6FE54062" w14:textId="48E3D61A" w:rsidR="00325F97" w:rsidRDefault="00325F97" w:rsidP="00580787">
      <w:pPr>
        <w:jc w:val="both"/>
        <w:rPr>
          <w:rFonts w:ascii="Arial" w:hAnsi="Arial" w:cs="Arial"/>
        </w:rPr>
      </w:pPr>
    </w:p>
    <w:p w14:paraId="67998FDD" w14:textId="7C1D8057" w:rsidR="00325F97" w:rsidRPr="00256AB7" w:rsidRDefault="00325F97" w:rsidP="005807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R.- No, la tarifa de agua es la base para determinar un porcentaje para el pago del alcantarillado y del saneamiento, pero por conceptos diferentes y no se encuentran incluidas en la tarifa de agua. </w:t>
      </w:r>
    </w:p>
    <w:p w14:paraId="62093980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0CF3CCB0" w14:textId="77777777" w:rsidR="00325F9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 xml:space="preserve">6. ¿El pago del suministro de agua se toma como referencia para el cobro de otros conceptos?     Sí  </w:t>
      </w:r>
      <w:r w:rsidRPr="00256AB7">
        <w:rPr>
          <w:rFonts w:ascii="Arial" w:hAnsi="Arial" w:cs="Arial"/>
          <w:u w:val="single"/>
        </w:rPr>
        <w:t xml:space="preserve"> </w:t>
      </w:r>
      <w:r w:rsidR="00325F97">
        <w:rPr>
          <w:rFonts w:ascii="Arial" w:hAnsi="Arial" w:cs="Arial"/>
          <w:u w:val="single"/>
        </w:rPr>
        <w:t>x</w:t>
      </w:r>
      <w:r w:rsidRPr="00256AB7">
        <w:rPr>
          <w:rFonts w:ascii="Arial" w:hAnsi="Arial" w:cs="Arial"/>
          <w:u w:val="single"/>
        </w:rPr>
        <w:t xml:space="preserve">   </w:t>
      </w:r>
      <w:r w:rsidRPr="00256AB7">
        <w:rPr>
          <w:rFonts w:ascii="Arial" w:hAnsi="Arial" w:cs="Arial"/>
        </w:rPr>
        <w:t xml:space="preserve">   </w:t>
      </w:r>
      <w:proofErr w:type="gramStart"/>
      <w:r w:rsidRPr="00256AB7">
        <w:rPr>
          <w:rFonts w:ascii="Arial" w:hAnsi="Arial" w:cs="Arial"/>
        </w:rPr>
        <w:t>No  _</w:t>
      </w:r>
      <w:proofErr w:type="gramEnd"/>
      <w:r w:rsidRPr="00256AB7">
        <w:rPr>
          <w:rFonts w:ascii="Arial" w:hAnsi="Arial" w:cs="Arial"/>
        </w:rPr>
        <w:t>__</w:t>
      </w:r>
    </w:p>
    <w:p w14:paraId="16EFD971" w14:textId="12D192A7" w:rsidR="00580787" w:rsidRPr="00256AB7" w:rsidRDefault="00580787" w:rsidP="00580787">
      <w:pPr>
        <w:jc w:val="both"/>
        <w:rPr>
          <w:rFonts w:ascii="Arial" w:hAnsi="Arial" w:cs="Arial"/>
          <w:u w:val="single"/>
        </w:rPr>
      </w:pPr>
      <w:r w:rsidRPr="00256AB7">
        <w:rPr>
          <w:rFonts w:ascii="Arial" w:hAnsi="Arial" w:cs="Arial"/>
          <w:color w:val="FFFFFF"/>
          <w:u w:val="single"/>
        </w:rPr>
        <w:t xml:space="preserve"> x</w:t>
      </w:r>
      <w:r w:rsidRPr="00256AB7">
        <w:rPr>
          <w:rFonts w:ascii="Arial" w:hAnsi="Arial" w:cs="Arial"/>
        </w:rPr>
        <w:t xml:space="preserve"> </w:t>
      </w:r>
      <w:r w:rsidRPr="00256AB7">
        <w:rPr>
          <w:rFonts w:ascii="Arial" w:hAnsi="Arial" w:cs="Arial"/>
          <w:u w:val="single"/>
        </w:rPr>
        <w:t xml:space="preserve">  </w:t>
      </w:r>
    </w:p>
    <w:p w14:paraId="56E78E2E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0C466257" w14:textId="77777777" w:rsidR="00580787" w:rsidRPr="00256AB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Si su respuesta es Sí, señale lo siguiente:</w:t>
      </w:r>
    </w:p>
    <w:p w14:paraId="03375F1A" w14:textId="77777777" w:rsidR="00580787" w:rsidRDefault="00580787" w:rsidP="00580787">
      <w:pPr>
        <w:rPr>
          <w:rFonts w:ascii="Arial" w:hAnsi="Arial" w:cs="Arial"/>
        </w:rPr>
      </w:pPr>
    </w:p>
    <w:p w14:paraId="7E482476" w14:textId="77777777" w:rsidR="00580787" w:rsidRPr="00256AB7" w:rsidRDefault="00580787" w:rsidP="00580787">
      <w:pPr>
        <w:rPr>
          <w:rFonts w:ascii="Arial" w:hAnsi="Arial" w:cs="Arial"/>
        </w:rPr>
      </w:pPr>
    </w:p>
    <w:tbl>
      <w:tblPr>
        <w:tblW w:w="6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111"/>
        <w:gridCol w:w="1168"/>
        <w:gridCol w:w="856"/>
        <w:gridCol w:w="1292"/>
        <w:gridCol w:w="1431"/>
      </w:tblGrid>
      <w:tr w:rsidR="00580787" w:rsidRPr="005C4F0C" w14:paraId="71EA318C" w14:textId="77777777" w:rsidTr="00116228">
        <w:trPr>
          <w:trHeight w:val="552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ABAFAB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Municipio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57EF3C9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25B367E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Tasa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465CC2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Recaudación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616846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Observaciones</w:t>
            </w:r>
          </w:p>
        </w:tc>
      </w:tr>
      <w:tr w:rsidR="00580787" w:rsidRPr="005C4F0C" w14:paraId="3D08601E" w14:textId="77777777" w:rsidTr="00116228">
        <w:trPr>
          <w:trHeight w:val="234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CC2F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F885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CEF12B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2023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06B2DA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2024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F977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FA69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580787" w:rsidRPr="005C4F0C" w14:paraId="04498C28" w14:textId="77777777" w:rsidTr="00D65987">
        <w:trPr>
          <w:trHeight w:val="234"/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2DCD" w14:textId="073F7792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116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Banderilla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CF37" w14:textId="7D233798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1162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</w:t>
            </w:r>
            <w:r w:rsid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3E3B" w14:textId="174DD6BC" w:rsidR="00580787" w:rsidRPr="005C4F0C" w:rsidRDefault="00D6598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Medido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41B0" w14:textId="645F7DA4" w:rsidR="00580787" w:rsidRPr="005C4F0C" w:rsidRDefault="00D6598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medido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D821" w14:textId="42832ACF" w:rsidR="00D65987" w:rsidRPr="005C4F0C" w:rsidRDefault="00D65987" w:rsidP="00D65987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$8,095,933.91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1FA3" w14:textId="058901F3" w:rsidR="00580787" w:rsidRPr="005C4F0C" w:rsidRDefault="00D659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toma como base el servicio doméstico, comercial.</w:t>
            </w:r>
          </w:p>
        </w:tc>
      </w:tr>
      <w:tr w:rsidR="00116228" w:rsidRPr="005C4F0C" w14:paraId="56BBDF78" w14:textId="77777777" w:rsidTr="00D65987">
        <w:trPr>
          <w:trHeight w:val="234"/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025" w14:textId="37BEB2FB" w:rsidR="00116228" w:rsidRPr="005C4F0C" w:rsidRDefault="00116228" w:rsidP="00116228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Banderilla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551A" w14:textId="52725D6C" w:rsidR="00116228" w:rsidRPr="005C4F0C" w:rsidRDefault="00116228" w:rsidP="00116228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Drenaje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B9FFB" w14:textId="252E03DD" w:rsidR="00116228" w:rsidRPr="005C4F0C" w:rsidRDefault="00D6598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62B5" w14:textId="22A31A75" w:rsidR="00116228" w:rsidRPr="005C4F0C" w:rsidRDefault="00D6598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A3C8" w14:textId="3F22757A" w:rsidR="00116228" w:rsidRPr="005C4F0C" w:rsidRDefault="00D6598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$2,152,266.78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E409" w14:textId="78AB7A4E" w:rsidR="00116228" w:rsidRPr="005C4F0C" w:rsidRDefault="00116228" w:rsidP="00116228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116228" w:rsidRPr="005C4F0C" w14:paraId="29E3FE17" w14:textId="77777777" w:rsidTr="00D65987">
        <w:trPr>
          <w:trHeight w:val="234"/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F343" w14:textId="3485666C" w:rsidR="00116228" w:rsidRPr="005C4F0C" w:rsidRDefault="00116228" w:rsidP="00116228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0929" w14:textId="139BC6CD" w:rsidR="00116228" w:rsidRPr="005C4F0C" w:rsidRDefault="00116228" w:rsidP="00116228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15019" w14:textId="5DCA49FD" w:rsidR="00116228" w:rsidRPr="005C4F0C" w:rsidRDefault="00116228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AAB18" w14:textId="2A3F69CB" w:rsidR="00116228" w:rsidRPr="005C4F0C" w:rsidRDefault="00116228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93A9" w14:textId="0BB49832" w:rsidR="00116228" w:rsidRPr="005C4F0C" w:rsidRDefault="00116228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768FF" w14:textId="5A2655C0" w:rsidR="00116228" w:rsidRPr="005C4F0C" w:rsidRDefault="00116228" w:rsidP="00116228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A979126" w14:textId="77777777" w:rsidR="00580787" w:rsidRDefault="00580787" w:rsidP="00580787">
      <w:pPr>
        <w:jc w:val="both"/>
        <w:rPr>
          <w:rFonts w:ascii="Arial" w:hAnsi="Arial" w:cs="Arial"/>
        </w:rPr>
      </w:pPr>
      <w:bookmarkStart w:id="1" w:name="_MON_1422439971"/>
      <w:bookmarkEnd w:id="1"/>
    </w:p>
    <w:p w14:paraId="13A81BA6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333975AA" w14:textId="77777777" w:rsidR="00580787" w:rsidRPr="00256AB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7. Enuncie los organismos que operan en el Estado y que proporcionan el servicio, su forma de organización jurídica, las obligaciones y derechos con respecto a la concesión otorgada e indique los municipios en que opera cada uno de ellos y la recaudación por organismo.</w:t>
      </w:r>
    </w:p>
    <w:p w14:paraId="3E63C3BD" w14:textId="77777777" w:rsidR="00580787" w:rsidRDefault="00580787" w:rsidP="00580787">
      <w:pPr>
        <w:jc w:val="both"/>
        <w:rPr>
          <w:rFonts w:ascii="Arial" w:hAnsi="Arial" w:cs="Arial"/>
        </w:rPr>
      </w:pPr>
    </w:p>
    <w:p w14:paraId="1459005B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1196"/>
        <w:gridCol w:w="1843"/>
        <w:gridCol w:w="1393"/>
        <w:gridCol w:w="1835"/>
      </w:tblGrid>
      <w:tr w:rsidR="00580787" w:rsidRPr="005C4F0C" w14:paraId="1B74D943" w14:textId="77777777" w:rsidTr="00887165">
        <w:trPr>
          <w:trHeight w:val="365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6F5C9B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bookmarkStart w:id="2" w:name="_MON_1422440011"/>
            <w:bookmarkEnd w:id="2"/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Municipio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406CF8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Organismo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A12496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Forma de Organización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70554B4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Obligaciones y Derechos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8F3870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Recaudación</w:t>
            </w:r>
          </w:p>
        </w:tc>
      </w:tr>
      <w:tr w:rsidR="00580787" w:rsidRPr="005C4F0C" w14:paraId="2D3F3B0E" w14:textId="77777777" w:rsidTr="00887165">
        <w:trPr>
          <w:trHeight w:val="228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822" w14:textId="66A7AF70" w:rsidR="00580787" w:rsidRPr="005C4F0C" w:rsidRDefault="00325F9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Banderilla</w:t>
            </w:r>
            <w:r w:rsidR="00580787"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446B" w14:textId="0558F78B" w:rsidR="00580787" w:rsidRPr="005C4F0C" w:rsidRDefault="00325F9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CMAP</w:t>
            </w:r>
            <w:r w:rsidR="00580787"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7E48" w14:textId="52D6D8F4" w:rsidR="00580787" w:rsidRPr="005C4F0C" w:rsidRDefault="00580787" w:rsidP="00325F97">
            <w:pPr>
              <w:ind w:righ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 w:rsidR="00325F97">
              <w:rPr>
                <w:rFonts w:ascii="Arial" w:eastAsia="Times New Roman" w:hAnsi="Arial" w:cs="Arial"/>
                <w:color w:val="000000"/>
                <w:lang w:eastAsia="es-MX"/>
              </w:rPr>
              <w:t xml:space="preserve">Paramunicipal, descentralizado del Ayuntamiento con personalidad jurídica y patrimonio propio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FF3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676B" w14:textId="2F2BBF5E" w:rsidR="00580787" w:rsidRPr="005C4F0C" w:rsidRDefault="00325F97" w:rsidP="00D65987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D65987">
              <w:rPr>
                <w:rFonts w:ascii="Arial" w:eastAsia="Times New Roman" w:hAnsi="Arial" w:cs="Arial"/>
                <w:color w:val="000000"/>
                <w:lang w:eastAsia="es-MX"/>
              </w:rPr>
              <w:t xml:space="preserve"> 14,840,105.</w:t>
            </w:r>
            <w:bookmarkStart w:id="3" w:name="_GoBack"/>
            <w:bookmarkEnd w:id="3"/>
            <w:r w:rsidR="00D65987">
              <w:rPr>
                <w:rFonts w:ascii="Arial" w:eastAsia="Times New Roman" w:hAnsi="Arial" w:cs="Arial"/>
                <w:color w:val="000000"/>
                <w:lang w:eastAsia="es-MX"/>
              </w:rPr>
              <w:t>62</w:t>
            </w:r>
            <w:r w:rsidR="00580787"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580787" w:rsidRPr="005C4F0C" w14:paraId="3684988F" w14:textId="77777777" w:rsidTr="00887165">
        <w:trPr>
          <w:trHeight w:val="228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50FD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EFFF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EDAB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7F68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7ACB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580787" w:rsidRPr="005C4F0C" w14:paraId="42EB77E7" w14:textId="77777777" w:rsidTr="00887165">
        <w:trPr>
          <w:trHeight w:val="228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857C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03A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42B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59F5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D8A9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</w:tbl>
    <w:p w14:paraId="31326099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74B0974F" w14:textId="77777777" w:rsidR="00580787" w:rsidRPr="00256AB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8. Si las tasas o tarifas y el costo del metro cúbico vigente en su ordenamiento jurídico, han sufrido algún cambio respecto del año anterior; señálelos en el cuadro siguiente y anexe copia de la publicación oficial.</w:t>
      </w:r>
    </w:p>
    <w:p w14:paraId="35A9A7B6" w14:textId="77777777" w:rsidR="00580787" w:rsidRDefault="00580787" w:rsidP="00580787">
      <w:pPr>
        <w:jc w:val="both"/>
        <w:rPr>
          <w:rFonts w:ascii="Arial" w:hAnsi="Arial" w:cs="Arial"/>
        </w:rPr>
      </w:pPr>
    </w:p>
    <w:p w14:paraId="7FED6B52" w14:textId="77777777" w:rsidR="00125A4F" w:rsidRPr="00256AB7" w:rsidRDefault="00125A4F" w:rsidP="00580787">
      <w:pPr>
        <w:jc w:val="both"/>
        <w:rPr>
          <w:rFonts w:ascii="Arial" w:hAnsi="Arial" w:cs="Arial"/>
        </w:rPr>
      </w:pPr>
    </w:p>
    <w:tbl>
      <w:tblPr>
        <w:tblW w:w="85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965"/>
        <w:gridCol w:w="811"/>
        <w:gridCol w:w="911"/>
        <w:gridCol w:w="976"/>
        <w:gridCol w:w="801"/>
        <w:gridCol w:w="1011"/>
        <w:gridCol w:w="928"/>
        <w:gridCol w:w="1073"/>
      </w:tblGrid>
      <w:tr w:rsidR="00580787" w:rsidRPr="005C4F0C" w14:paraId="2C02F0F8" w14:textId="77777777" w:rsidTr="004740DC">
        <w:trPr>
          <w:trHeight w:val="262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5C64FC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bookmarkStart w:id="4" w:name="_MON_1422440100"/>
            <w:bookmarkEnd w:id="4"/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Municipio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9AFB6E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Tasa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CAC634F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Variación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C6A97F4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Costo metro cúbico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5445B5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Variación</w:t>
            </w:r>
          </w:p>
        </w:tc>
      </w:tr>
      <w:tr w:rsidR="00580787" w:rsidRPr="005C4F0C" w14:paraId="60980314" w14:textId="77777777" w:rsidTr="004740DC">
        <w:trPr>
          <w:trHeight w:val="41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32720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609F9D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que informa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D80B3A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anterior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336498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Absoluta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A701B8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Relativa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F9DC44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que informa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83F02C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anterior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A1AF29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Absoluta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C9964E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Relativa</w:t>
            </w:r>
          </w:p>
        </w:tc>
      </w:tr>
      <w:tr w:rsidR="00580787" w:rsidRPr="005C4F0C" w14:paraId="2F3BFAC9" w14:textId="77777777" w:rsidTr="00887165">
        <w:trPr>
          <w:trHeight w:val="262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00D0" w14:textId="34F38B5D" w:rsidR="00580787" w:rsidRPr="005C4F0C" w:rsidRDefault="00627769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Banderilla</w:t>
            </w:r>
            <w:r w:rsidR="00580787"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10A5" w14:textId="6DA6A5DB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 w:rsidR="00627769">
              <w:rPr>
                <w:rFonts w:ascii="Arial" w:eastAsia="Times New Roman" w:hAnsi="Arial" w:cs="Arial"/>
                <w:color w:val="000000"/>
                <w:lang w:eastAsia="es-MX"/>
              </w:rPr>
              <w:t>43%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3EB0" w14:textId="4DF2B83E" w:rsidR="00580787" w:rsidRPr="005C4F0C" w:rsidRDefault="00627769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6%</w:t>
            </w:r>
            <w:r w:rsidR="00580787"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158" w14:textId="7393007B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 w:rsidR="00627769">
              <w:rPr>
                <w:rFonts w:ascii="Arial" w:eastAsia="Times New Roman" w:hAnsi="Arial" w:cs="Arial"/>
                <w:color w:val="000000"/>
                <w:lang w:eastAsia="es-MX"/>
              </w:rPr>
              <w:t>$51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D1A" w14:textId="7F43EC70" w:rsidR="00580787" w:rsidRPr="005C4F0C" w:rsidRDefault="00627769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43%</w:t>
            </w:r>
            <w:r w:rsidR="00580787"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3A03" w14:textId="5D1EA9BD" w:rsidR="00580787" w:rsidRPr="005C4F0C" w:rsidRDefault="00325F9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$ </w:t>
            </w:r>
            <w:r w:rsidR="00627769">
              <w:rPr>
                <w:rFonts w:ascii="Arial" w:eastAsia="Times New Roman" w:hAnsi="Arial" w:cs="Arial"/>
                <w:color w:val="000000"/>
                <w:lang w:eastAsia="es-MX"/>
              </w:rPr>
              <w:t>16.7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3737" w14:textId="6BE7D382" w:rsidR="00580787" w:rsidRPr="00887165" w:rsidRDefault="00325F9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87165">
              <w:rPr>
                <w:rFonts w:ascii="Arial" w:eastAsia="Times New Roman" w:hAnsi="Arial" w:cs="Arial"/>
                <w:color w:val="000000"/>
                <w:lang w:eastAsia="es-MX"/>
              </w:rPr>
              <w:t xml:space="preserve">$ </w:t>
            </w:r>
            <w:r w:rsidR="00627769" w:rsidRPr="00887165">
              <w:rPr>
                <w:rFonts w:ascii="Arial" w:eastAsia="Times New Roman" w:hAnsi="Arial" w:cs="Arial"/>
                <w:color w:val="000000"/>
                <w:lang w:eastAsia="es-MX"/>
              </w:rPr>
              <w:t>11.6</w:t>
            </w:r>
            <w:r w:rsidR="00580787" w:rsidRPr="0088716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6AD" w14:textId="7EB0C5C3" w:rsidR="00580787" w:rsidRPr="0088716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lang w:eastAsia="es-MX"/>
              </w:rPr>
            </w:pPr>
            <w:r w:rsidRPr="00887165">
              <w:rPr>
                <w:rFonts w:ascii="Arial" w:eastAsia="Times New Roman" w:hAnsi="Arial" w:cs="Arial"/>
                <w:lang w:eastAsia="es-MX"/>
              </w:rPr>
              <w:t> </w:t>
            </w:r>
            <w:r w:rsidR="00887165" w:rsidRPr="00887165">
              <w:rPr>
                <w:rFonts w:ascii="Arial" w:eastAsia="Times New Roman" w:hAnsi="Arial" w:cs="Arial"/>
                <w:lang w:eastAsia="es-MX"/>
              </w:rPr>
              <w:t>5.1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91B1" w14:textId="7D78570D" w:rsidR="00580787" w:rsidRPr="00887165" w:rsidRDefault="00887165" w:rsidP="004740DC">
            <w:pPr>
              <w:ind w:right="0"/>
              <w:jc w:val="left"/>
              <w:rPr>
                <w:rFonts w:ascii="Arial" w:eastAsia="Times New Roman" w:hAnsi="Arial" w:cs="Arial"/>
                <w:lang w:eastAsia="es-MX"/>
              </w:rPr>
            </w:pPr>
            <w:r w:rsidRPr="00887165">
              <w:rPr>
                <w:rFonts w:ascii="Arial" w:eastAsia="Times New Roman" w:hAnsi="Arial" w:cs="Arial"/>
                <w:lang w:eastAsia="es-MX"/>
              </w:rPr>
              <w:t>30.53%</w:t>
            </w:r>
          </w:p>
        </w:tc>
      </w:tr>
      <w:tr w:rsidR="00580787" w:rsidRPr="005C4F0C" w14:paraId="41F9AC19" w14:textId="77777777" w:rsidTr="004740DC">
        <w:trPr>
          <w:trHeight w:val="262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AF70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1AED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DBA1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67B0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8740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AAEB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DF33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7B98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6EC8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580787" w:rsidRPr="005C4F0C" w14:paraId="50CA4E99" w14:textId="77777777" w:rsidTr="004740DC">
        <w:trPr>
          <w:trHeight w:val="262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12D3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F707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13C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3E88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C90A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521C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CEF8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CEEB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A81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</w:tbl>
    <w:p w14:paraId="7C362775" w14:textId="77777777" w:rsidR="00580787" w:rsidRDefault="00580787" w:rsidP="00580787">
      <w:pPr>
        <w:jc w:val="both"/>
        <w:rPr>
          <w:rFonts w:ascii="Arial" w:hAnsi="Arial" w:cs="Arial"/>
        </w:rPr>
      </w:pPr>
    </w:p>
    <w:p w14:paraId="4494B894" w14:textId="77777777" w:rsidR="00580787" w:rsidRDefault="00580787" w:rsidP="00580787">
      <w:pPr>
        <w:jc w:val="both"/>
        <w:rPr>
          <w:rFonts w:ascii="Arial" w:hAnsi="Arial" w:cs="Arial"/>
        </w:rPr>
      </w:pPr>
    </w:p>
    <w:p w14:paraId="1879D006" w14:textId="77777777" w:rsidR="00580787" w:rsidRPr="00256AB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 xml:space="preserve">9. Señale el monto y porcentaje que aporta cada uno de los tipos de usos de la toma de </w:t>
      </w:r>
      <w:r>
        <w:rPr>
          <w:rFonts w:ascii="Arial" w:hAnsi="Arial" w:cs="Arial"/>
        </w:rPr>
        <w:t>a</w:t>
      </w:r>
      <w:r w:rsidRPr="00256AB7">
        <w:rPr>
          <w:rFonts w:ascii="Arial" w:hAnsi="Arial" w:cs="Arial"/>
        </w:rPr>
        <w:t>gua en el total de la r</w:t>
      </w:r>
      <w:r>
        <w:rPr>
          <w:rFonts w:ascii="Arial" w:hAnsi="Arial" w:cs="Arial"/>
        </w:rPr>
        <w:t>ecaudación por E</w:t>
      </w:r>
      <w:r w:rsidRPr="00256AB7">
        <w:rPr>
          <w:rFonts w:ascii="Arial" w:hAnsi="Arial" w:cs="Arial"/>
        </w:rPr>
        <w:t>ntidad y su comparación con el año anterior al que se informa.</w:t>
      </w:r>
    </w:p>
    <w:p w14:paraId="0AFC3C7E" w14:textId="77777777" w:rsidR="00580787" w:rsidRDefault="00580787" w:rsidP="00580787">
      <w:pPr>
        <w:jc w:val="both"/>
        <w:rPr>
          <w:rFonts w:ascii="Arial" w:hAnsi="Arial" w:cs="Arial"/>
        </w:rPr>
      </w:pPr>
    </w:p>
    <w:p w14:paraId="09A96EF7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tbl>
      <w:tblPr>
        <w:tblW w:w="953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68"/>
        <w:gridCol w:w="1130"/>
        <w:gridCol w:w="1112"/>
        <w:gridCol w:w="1392"/>
        <w:gridCol w:w="956"/>
        <w:gridCol w:w="1401"/>
        <w:gridCol w:w="812"/>
      </w:tblGrid>
      <w:tr w:rsidR="00580787" w:rsidRPr="005C4F0C" w14:paraId="4D2FD122" w14:textId="77777777" w:rsidTr="00325F97">
        <w:trPr>
          <w:trHeight w:val="301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12AE41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Ref.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B3DA1E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Uso de la Base con medidor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C376F4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No. De Usuarios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EB7687A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Total recaudado</w:t>
            </w:r>
          </w:p>
        </w:tc>
      </w:tr>
      <w:tr w:rsidR="00580787" w:rsidRPr="005C4F0C" w14:paraId="6FAF6220" w14:textId="77777777" w:rsidTr="00D65987">
        <w:trPr>
          <w:trHeight w:val="72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E3C3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8495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4732AD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que se informa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6FFC13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anterior al que se informa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264DF4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que se informa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895698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del total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CBCD9A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anterior al que se informa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69B5241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del t</w:t>
            </w: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otal</w:t>
            </w:r>
          </w:p>
        </w:tc>
      </w:tr>
      <w:tr w:rsidR="00580787" w:rsidRPr="005C4F0C" w14:paraId="01696744" w14:textId="77777777" w:rsidTr="00D65987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4FA6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6E0B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Uso doméstico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748F" w14:textId="13840805" w:rsidR="00580787" w:rsidRPr="005C4F0C" w:rsidRDefault="00627769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6,943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869D" w14:textId="4B346C60" w:rsidR="00580787" w:rsidRPr="005C4F0C" w:rsidRDefault="00627769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6,791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07C1" w14:textId="4D051B9F" w:rsidR="00580787" w:rsidRPr="005C4F0C" w:rsidRDefault="00325F9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$ </w:t>
            </w:r>
            <w:r w:rsid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9,633,308.65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6554" w14:textId="1622A98F" w:rsidR="00580787" w:rsidRPr="005C4F0C" w:rsidRDefault="00D6598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93.99</w:t>
            </w:r>
            <w:r w:rsidR="006277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4F22" w14:textId="63DBBCE6" w:rsidR="00580787" w:rsidRPr="005C4F0C" w:rsidRDefault="00325F9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6277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7,676,966.70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C2DC" w14:textId="058F45C7" w:rsidR="00580787" w:rsidRPr="005C4F0C" w:rsidRDefault="00627769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91.17</w:t>
            </w:r>
            <w:r w:rsid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</w:tr>
      <w:tr w:rsidR="00580787" w:rsidRPr="005C4F0C" w14:paraId="6046EC5E" w14:textId="77777777" w:rsidTr="00D65987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3A0D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CDDB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Uso no doméstico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1449" w14:textId="02ED241C" w:rsidR="00580787" w:rsidRPr="005C4F0C" w:rsidRDefault="00627769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A88" w14:textId="5E8F05C9" w:rsidR="00580787" w:rsidRPr="005C4F0C" w:rsidRDefault="00627769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808B" w14:textId="41FD7A09" w:rsidR="00580787" w:rsidRPr="005C4F0C" w:rsidRDefault="00325F9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$ </w:t>
            </w:r>
            <w:r w:rsid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614,892.04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25DF" w14:textId="2372DA41" w:rsidR="00580787" w:rsidRPr="005C4F0C" w:rsidRDefault="00D6598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6.01</w:t>
            </w:r>
            <w:r w:rsidR="006277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988" w14:textId="6842EABD" w:rsidR="00580787" w:rsidRPr="005C4F0C" w:rsidRDefault="00325F9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$ </w:t>
            </w:r>
            <w:r w:rsidR="006277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743,482.80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EC0" w14:textId="7EC924A2" w:rsidR="00580787" w:rsidRPr="005C4F0C" w:rsidRDefault="00627769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8.82</w:t>
            </w:r>
            <w:r w:rsid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</w:tr>
      <w:tr w:rsidR="00580787" w:rsidRPr="005C4F0C" w14:paraId="53FF541E" w14:textId="77777777" w:rsidTr="00D65987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AC37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7A31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Otro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9D31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3026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095C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C2F3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A46B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6E6E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0787" w:rsidRPr="005C4F0C" w14:paraId="20E66749" w14:textId="77777777" w:rsidTr="00D65987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DACB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3B2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A51C" w14:textId="562A40EA" w:rsidR="00580787" w:rsidRPr="005C4F0C" w:rsidRDefault="00627769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7,593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0E05" w14:textId="2E09467F" w:rsidR="00580787" w:rsidRPr="005C4F0C" w:rsidRDefault="00627769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7,448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08F" w14:textId="08B60025" w:rsidR="00580787" w:rsidRPr="005C4F0C" w:rsidRDefault="00325F9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D65987" w:rsidRP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  <w:r w:rsid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D65987" w:rsidRP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248</w:t>
            </w:r>
            <w:r w:rsid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="00D65987" w:rsidRP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200.69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1026" w14:textId="680F07E8" w:rsidR="00580787" w:rsidRPr="005C4F0C" w:rsidRDefault="00627769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7678" w14:textId="71EB1383" w:rsidR="00580787" w:rsidRPr="005C4F0C" w:rsidRDefault="00325F97" w:rsidP="00627769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$ </w:t>
            </w:r>
            <w:r w:rsidR="006277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8,420,449.50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AC50" w14:textId="5765FDDE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D659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100%</w:t>
            </w:r>
          </w:p>
        </w:tc>
      </w:tr>
      <w:tr w:rsidR="00580787" w:rsidRPr="005C4F0C" w14:paraId="6AC246C8" w14:textId="77777777" w:rsidTr="00325F97">
        <w:trPr>
          <w:trHeight w:val="301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15167D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Ref.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0C9160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Uso de la Base sin medidor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31F329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No. De Usuarios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E4A12DC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Total recaudado</w:t>
            </w:r>
          </w:p>
        </w:tc>
      </w:tr>
      <w:tr w:rsidR="00580787" w:rsidRPr="005C4F0C" w14:paraId="6321D9B5" w14:textId="77777777" w:rsidTr="00D65987">
        <w:trPr>
          <w:trHeight w:val="723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54BA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36E4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5BA212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que se informa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654CD4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anterior al que se informa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413503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que se informa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9B7F51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del total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702E5A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Año anterior al que se informa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AF0A0F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del t</w:t>
            </w: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otal</w:t>
            </w:r>
          </w:p>
        </w:tc>
      </w:tr>
      <w:tr w:rsidR="00580787" w:rsidRPr="005C4F0C" w14:paraId="116BFDA1" w14:textId="77777777" w:rsidTr="00D65987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E320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0B75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Uso doméstico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735043" w14:textId="3C7C5421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EE4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DADC21" w14:textId="0508F07D" w:rsidR="00580787" w:rsidRPr="00183D25" w:rsidRDefault="00EE4DEF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</w:t>
            </w:r>
            <w:r w:rsidR="00580787"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3BA3E5" w14:textId="1AD28BFF" w:rsidR="00580787" w:rsidRPr="00183D25" w:rsidRDefault="00EE4DEF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t>$</w:t>
            </w:r>
            <w:r w:rsidR="00D65987">
              <w:t>134,253.43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0B7418" w14:textId="68B35338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EE4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1.31%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15F69" w14:textId="2E173141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EE4DEF">
              <w:t>$110,307.89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661CCF" w14:textId="5C760464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EE4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1.31%</w:t>
            </w:r>
          </w:p>
        </w:tc>
      </w:tr>
      <w:tr w:rsidR="00580787" w:rsidRPr="005C4F0C" w14:paraId="34D52FC5" w14:textId="77777777" w:rsidTr="00D65987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C773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8F4D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Uso no doméstico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CB2EA6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C9808F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590CB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080FB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0F0BA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FFDB8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0787" w:rsidRPr="005C4F0C" w14:paraId="1A2364D1" w14:textId="77777777" w:rsidTr="00D65987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6DAF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99A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AF197E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71DABA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0F73F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A1875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0921FD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69A673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0787" w:rsidRPr="005C4F0C" w14:paraId="5E92906E" w14:textId="77777777" w:rsidTr="00D65987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7400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82E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B0A0EE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AAA98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0F64C7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A2525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FEA23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161790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0787" w:rsidRPr="005C4F0C" w14:paraId="2B3310D6" w14:textId="77777777" w:rsidTr="00D65987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7BBB0BE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782844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Gran Total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AD77DE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C5E36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16F9EF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7F2821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335FD1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EFA8FE" w14:textId="77777777" w:rsidR="00580787" w:rsidRPr="00183D25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83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61199F2F" w14:textId="77777777" w:rsidR="00580787" w:rsidRDefault="00580787" w:rsidP="00580787">
      <w:pPr>
        <w:jc w:val="both"/>
        <w:rPr>
          <w:rFonts w:ascii="Arial" w:hAnsi="Arial" w:cs="Arial"/>
        </w:rPr>
      </w:pPr>
    </w:p>
    <w:p w14:paraId="0C8C01F8" w14:textId="77777777" w:rsidR="00325F97" w:rsidRPr="00256AB7" w:rsidRDefault="00325F97" w:rsidP="00580787">
      <w:pPr>
        <w:jc w:val="both"/>
        <w:rPr>
          <w:rFonts w:ascii="Arial" w:hAnsi="Arial" w:cs="Arial"/>
        </w:rPr>
      </w:pPr>
    </w:p>
    <w:p w14:paraId="2D72114D" w14:textId="77777777" w:rsidR="00580787" w:rsidRPr="00256AB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10. Si se realizaron algunas de las siguientes acciones administrativas para aumentar o disminuir el potencial recaudatorio en el cobro de los derechos por suministro de agua, describa cómo se realizaron y anexe documentos que amparen dichas acciones:</w:t>
      </w:r>
    </w:p>
    <w:p w14:paraId="0C0E90AA" w14:textId="2B55775D" w:rsidR="00580787" w:rsidRDefault="00580787" w:rsidP="00580787">
      <w:pPr>
        <w:jc w:val="both"/>
        <w:rPr>
          <w:rFonts w:ascii="Arial" w:hAnsi="Arial" w:cs="Arial"/>
        </w:rPr>
      </w:pPr>
    </w:p>
    <w:p w14:paraId="08D0F305" w14:textId="111B2703" w:rsidR="006A1314" w:rsidRDefault="006A1314" w:rsidP="005807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R.- En este sentido se realizaron diversas accione que permitieron el incremento de la eficiencia comercial y de los ingresos del Organismo, por medio de diversas acciones, que se describen a continuación. </w:t>
      </w:r>
    </w:p>
    <w:p w14:paraId="25D08D7F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5D1CEFD1" w14:textId="05285AFA" w:rsidR="006A1314" w:rsidRPr="00256AB7" w:rsidRDefault="00580787" w:rsidP="006A131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Detección de tomas clandestinas</w:t>
      </w:r>
      <w:r w:rsidR="006A1314">
        <w:rPr>
          <w:rFonts w:ascii="Arial" w:hAnsi="Arial" w:cs="Arial"/>
        </w:rPr>
        <w:t xml:space="preserve"> y actualización d</w:t>
      </w:r>
      <w:r w:rsidR="006A1314" w:rsidRPr="00256AB7">
        <w:rPr>
          <w:rFonts w:ascii="Arial" w:hAnsi="Arial" w:cs="Arial"/>
        </w:rPr>
        <w:t>el padrón de usuarios</w:t>
      </w:r>
    </w:p>
    <w:p w14:paraId="4CD0FC68" w14:textId="3A29061C" w:rsidR="00580787" w:rsidRDefault="00580787" w:rsidP="006A1314">
      <w:pPr>
        <w:ind w:left="720"/>
        <w:jc w:val="both"/>
        <w:rPr>
          <w:rFonts w:ascii="Arial" w:hAnsi="Arial" w:cs="Arial"/>
        </w:rPr>
      </w:pPr>
    </w:p>
    <w:p w14:paraId="5B9CD99E" w14:textId="7836D3C0" w:rsidR="006A1314" w:rsidRDefault="006A1314" w:rsidP="006A131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Con el objeto de ubicar y actualizar el padrón de usuarios, se inicio el censado y ubicación georreferenciada de las tomas y predios existentes en las 7 localidades que atiende la CMAP – Banderilla, obtenido como resultado la incorporación de usuarios que tenían estatus de baja temporal o definitiva, tomas derivadas y tomas clandestinas permitiendo la recuperación de una parte de esos consumos y el pago de los derechos por contratación.</w:t>
      </w:r>
    </w:p>
    <w:p w14:paraId="086FEF43" w14:textId="0F29C1C3" w:rsidR="00580787" w:rsidRPr="00256AB7" w:rsidRDefault="00580787" w:rsidP="006A1314">
      <w:pPr>
        <w:jc w:val="both"/>
        <w:rPr>
          <w:rFonts w:ascii="Arial" w:hAnsi="Arial" w:cs="Arial"/>
        </w:rPr>
      </w:pPr>
    </w:p>
    <w:p w14:paraId="493A89C6" w14:textId="4FFB10F5" w:rsidR="00580787" w:rsidRDefault="00580787" w:rsidP="0058078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Inspecciones domiciliarias para detección de irregularidades</w:t>
      </w:r>
    </w:p>
    <w:p w14:paraId="4C20FDED" w14:textId="77777777" w:rsidR="006A1314" w:rsidRDefault="006A1314" w:rsidP="006A131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Como resultado de los reportes presentados por los usuarios o por detección en campo al momento a la entrega de recibos, se realizan de manera sistemática inspecciones a predios e instalaciones hidráulicas, en los cuales sean detectado desajustes en el medidor, reportes por aire en tuberías, fraude en consumo y/o alteración de los medidores por lo que se ha procedido a la regularización de dichas situaciones permitiendo el incremento de ingresos y cobro justo a los usuarios.</w:t>
      </w:r>
    </w:p>
    <w:p w14:paraId="6DC66CE7" w14:textId="7C5B0D7A" w:rsidR="006A1314" w:rsidRPr="00256AB7" w:rsidRDefault="006A1314" w:rsidP="006A131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5C43FC1" w14:textId="2DCE301B" w:rsidR="00580787" w:rsidRDefault="00580787" w:rsidP="0058078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Programas de descuentos</w:t>
      </w:r>
      <w:r w:rsidR="006A1314">
        <w:rPr>
          <w:rFonts w:ascii="Arial" w:hAnsi="Arial" w:cs="Arial"/>
        </w:rPr>
        <w:t>.</w:t>
      </w:r>
    </w:p>
    <w:p w14:paraId="3DA55F84" w14:textId="77777777" w:rsidR="006A1314" w:rsidRDefault="006A1314" w:rsidP="006A131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Con el objeto de abatir la cartera vencida de manera periódica y por autorización del Órgano de Gobierno se han realizado diversas campañas de descuentos en recargos y accesorios, permitiendo incorporar usuarios con adeudos importante e incorporarlos del agua a tiempo, subiendo la taza de eficiencia comercial a mas del 70% de los usuarios.</w:t>
      </w:r>
    </w:p>
    <w:p w14:paraId="5A184038" w14:textId="3B0EB0E7" w:rsidR="006A1314" w:rsidRPr="00256AB7" w:rsidRDefault="006A1314" w:rsidP="006A131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CEAC40" w14:textId="0C4E1D61" w:rsidR="00580787" w:rsidRDefault="00580787" w:rsidP="0058078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 xml:space="preserve">Descuentos por pago anual </w:t>
      </w:r>
    </w:p>
    <w:p w14:paraId="2BC9BE39" w14:textId="455B0302" w:rsidR="006A1314" w:rsidRDefault="006A1314" w:rsidP="006A131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 manera tradicional este programa se aplica durante los meses de enero y febrero, lo que permite una muy buena respuesta de los usuarios y de los pensionados y adultos mayores, alcanzando una cifra porcentual superior al 20% del total de los usuarios.</w:t>
      </w:r>
    </w:p>
    <w:p w14:paraId="4F8F3DF1" w14:textId="77777777" w:rsidR="006A1314" w:rsidRPr="00256AB7" w:rsidRDefault="006A1314" w:rsidP="006A1314">
      <w:pPr>
        <w:ind w:left="720"/>
        <w:jc w:val="both"/>
        <w:rPr>
          <w:rFonts w:ascii="Arial" w:hAnsi="Arial" w:cs="Arial"/>
        </w:rPr>
      </w:pPr>
    </w:p>
    <w:p w14:paraId="77B2E49E" w14:textId="6A667006" w:rsidR="00580787" w:rsidRDefault="00580787" w:rsidP="0058078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Campañas publicitarias</w:t>
      </w:r>
    </w:p>
    <w:p w14:paraId="76E47902" w14:textId="5DF690A8" w:rsidR="006A1314" w:rsidRDefault="006A1314" w:rsidP="006A131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par de los programas de descuento se han impulsado </w:t>
      </w:r>
      <w:proofErr w:type="gramStart"/>
      <w:r>
        <w:rPr>
          <w:rFonts w:ascii="Arial" w:hAnsi="Arial" w:cs="Arial"/>
        </w:rPr>
        <w:t>diversa campañas</w:t>
      </w:r>
      <w:proofErr w:type="gramEnd"/>
      <w:r>
        <w:rPr>
          <w:rFonts w:ascii="Arial" w:hAnsi="Arial" w:cs="Arial"/>
        </w:rPr>
        <w:t xml:space="preserve"> para sensibilizar a la población en materia del uso y cuidado del agua y la importancia del pago de sus servicios, logrando una buena respuesta </w:t>
      </w:r>
      <w:r w:rsidR="00B266BE">
        <w:rPr>
          <w:rFonts w:ascii="Arial" w:hAnsi="Arial" w:cs="Arial"/>
        </w:rPr>
        <w:t xml:space="preserve">de la población en materia de uso eficiente y del pago de los servicios; en paralelo durante diversa acciones y campañas se han obsequiado diversos </w:t>
      </w:r>
      <w:proofErr w:type="spellStart"/>
      <w:r w:rsidR="00B266BE">
        <w:rPr>
          <w:rFonts w:ascii="Arial" w:hAnsi="Arial" w:cs="Arial"/>
        </w:rPr>
        <w:t>souvenirns</w:t>
      </w:r>
      <w:proofErr w:type="spellEnd"/>
      <w:r w:rsidR="00B266BE">
        <w:rPr>
          <w:rFonts w:ascii="Arial" w:hAnsi="Arial" w:cs="Arial"/>
        </w:rPr>
        <w:t xml:space="preserve"> tales como bolsas tazas y juegos interactivos. </w:t>
      </w:r>
    </w:p>
    <w:p w14:paraId="794F022C" w14:textId="69CF1DFF" w:rsidR="006A1314" w:rsidRPr="00256AB7" w:rsidRDefault="006A1314" w:rsidP="006A1314">
      <w:pPr>
        <w:ind w:left="720"/>
        <w:jc w:val="both"/>
        <w:rPr>
          <w:rFonts w:ascii="Arial" w:hAnsi="Arial" w:cs="Arial"/>
        </w:rPr>
      </w:pPr>
    </w:p>
    <w:p w14:paraId="146EF15E" w14:textId="57186448" w:rsidR="00580787" w:rsidRDefault="00580787" w:rsidP="0058078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Cobro coactivo</w:t>
      </w:r>
    </w:p>
    <w:p w14:paraId="5DCC0388" w14:textId="398C6510" w:rsidR="00B266BE" w:rsidRDefault="00B266BE" w:rsidP="00B266B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igual forma para los usuarios renuentes para pago, se han implementado acciones sistemáticas de corte o limitación de los servicios, así como requerimientos, platicas y ele otorgamiento de facilidades para el pago de sus adeudos, teniendo una buena respuesta, sin que a la fecha se haya procedido con el procedimiento económico- coactivo. </w:t>
      </w:r>
    </w:p>
    <w:p w14:paraId="5A0DDAFF" w14:textId="77777777" w:rsidR="00B266BE" w:rsidRPr="00256AB7" w:rsidRDefault="00B266BE" w:rsidP="00B266BE">
      <w:pPr>
        <w:ind w:left="720"/>
        <w:jc w:val="both"/>
        <w:rPr>
          <w:rFonts w:ascii="Arial" w:hAnsi="Arial" w:cs="Arial"/>
        </w:rPr>
      </w:pPr>
    </w:p>
    <w:p w14:paraId="2E7378AC" w14:textId="60974DB7" w:rsidR="00580787" w:rsidRDefault="00580787" w:rsidP="0058078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Facilidades de pago por medio de la celebración de convenios</w:t>
      </w:r>
    </w:p>
    <w:p w14:paraId="278D4098" w14:textId="65D6A705" w:rsidR="00B266BE" w:rsidRDefault="00B266BE" w:rsidP="00B266B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este tema de manera permanente se implementó una política comercial que brinda apoyos en el pago de los adeudos, consistente en la celebración de convenios para cubrir los </w:t>
      </w:r>
      <w:r w:rsidR="00FE612F">
        <w:rPr>
          <w:rFonts w:ascii="Arial" w:hAnsi="Arial" w:cs="Arial"/>
        </w:rPr>
        <w:t>adeudos, otorgándosele facilidades de hasta 12 meses y descuentos del orden del 20</w:t>
      </w:r>
      <w:proofErr w:type="gramStart"/>
      <w:r w:rsidR="00FE612F">
        <w:rPr>
          <w:rFonts w:ascii="Arial" w:hAnsi="Arial" w:cs="Arial"/>
        </w:rPr>
        <w:t>%  hasta</w:t>
      </w:r>
      <w:proofErr w:type="gramEnd"/>
      <w:r w:rsidR="00FE612F">
        <w:rPr>
          <w:rFonts w:ascii="Arial" w:hAnsi="Arial" w:cs="Arial"/>
        </w:rPr>
        <w:t xml:space="preserve"> el 50%.</w:t>
      </w:r>
    </w:p>
    <w:p w14:paraId="772859B2" w14:textId="77777777" w:rsidR="00B266BE" w:rsidRPr="00256AB7" w:rsidRDefault="00B266BE" w:rsidP="00B266BE">
      <w:pPr>
        <w:ind w:left="720"/>
        <w:jc w:val="both"/>
        <w:rPr>
          <w:rFonts w:ascii="Arial" w:hAnsi="Arial" w:cs="Arial"/>
        </w:rPr>
      </w:pPr>
    </w:p>
    <w:p w14:paraId="1EE91F26" w14:textId="07663BCE" w:rsidR="00580787" w:rsidRDefault="00580787" w:rsidP="0058078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Ampliación en cobertura de pago (bancos, internet, módulos, etc.)</w:t>
      </w:r>
    </w:p>
    <w:p w14:paraId="7810F8C4" w14:textId="56F31140" w:rsidR="00210680" w:rsidRDefault="00210680" w:rsidP="00210680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gestiono ante diversas instituciones Bancarias y comercios el pago de servicios por medio de tarjeta de </w:t>
      </w:r>
      <w:r w:rsidR="00C96EE7">
        <w:rPr>
          <w:rFonts w:ascii="Arial" w:hAnsi="Arial" w:cs="Arial"/>
        </w:rPr>
        <w:t>débito</w:t>
      </w:r>
      <w:r>
        <w:rPr>
          <w:rFonts w:ascii="Arial" w:hAnsi="Arial" w:cs="Arial"/>
        </w:rPr>
        <w:t xml:space="preserve"> o crédito, y el pago</w:t>
      </w:r>
      <w:r w:rsidR="00C96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recibo en los comercios, lo que ha facilitado </w:t>
      </w:r>
      <w:r w:rsidR="00C96EE7">
        <w:rPr>
          <w:rFonts w:ascii="Arial" w:hAnsi="Arial" w:cs="Arial"/>
        </w:rPr>
        <w:t>el pago de los servicios.</w:t>
      </w:r>
    </w:p>
    <w:p w14:paraId="0F55E01C" w14:textId="77777777" w:rsidR="00580787" w:rsidRDefault="00580787" w:rsidP="00580787">
      <w:pPr>
        <w:jc w:val="both"/>
        <w:rPr>
          <w:rFonts w:ascii="Arial" w:hAnsi="Arial" w:cs="Arial"/>
        </w:rPr>
      </w:pPr>
    </w:p>
    <w:p w14:paraId="6C835E72" w14:textId="77777777" w:rsidR="00580787" w:rsidRDefault="00580787" w:rsidP="00580787">
      <w:pPr>
        <w:jc w:val="both"/>
        <w:rPr>
          <w:rFonts w:ascii="Arial" w:hAnsi="Arial" w:cs="Arial"/>
        </w:rPr>
      </w:pPr>
    </w:p>
    <w:p w14:paraId="06CB382C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3D36B418" w14:textId="77777777" w:rsidR="00580787" w:rsidRPr="00256AB7" w:rsidRDefault="00580787" w:rsidP="00580787">
      <w:pPr>
        <w:jc w:val="both"/>
        <w:rPr>
          <w:rFonts w:ascii="Arial" w:hAnsi="Arial" w:cs="Arial"/>
        </w:rPr>
      </w:pPr>
      <w:r w:rsidRPr="00256AB7">
        <w:rPr>
          <w:rFonts w:ascii="Arial" w:hAnsi="Arial" w:cs="Arial"/>
        </w:rPr>
        <w:t>11. De existir plantas de tratamiento de aguas residuales, señale cuántas hay, en qué municipio, su capacidad y</w:t>
      </w:r>
      <w:r>
        <w:rPr>
          <w:rFonts w:ascii="Arial" w:hAnsi="Arial" w:cs="Arial"/>
        </w:rPr>
        <w:t>,</w:t>
      </w:r>
      <w:r w:rsidRPr="00256AB7">
        <w:rPr>
          <w:rFonts w:ascii="Arial" w:hAnsi="Arial" w:cs="Arial"/>
        </w:rPr>
        <w:t xml:space="preserve"> en su caso</w:t>
      </w:r>
      <w:r>
        <w:rPr>
          <w:rFonts w:ascii="Arial" w:hAnsi="Arial" w:cs="Arial"/>
        </w:rPr>
        <w:t>,</w:t>
      </w:r>
      <w:r w:rsidRPr="00256AB7">
        <w:rPr>
          <w:rFonts w:ascii="Arial" w:hAnsi="Arial" w:cs="Arial"/>
        </w:rPr>
        <w:t xml:space="preserve"> el costo - beneficio.</w:t>
      </w:r>
    </w:p>
    <w:p w14:paraId="76A7DAD3" w14:textId="77777777" w:rsidR="00580787" w:rsidRDefault="00580787" w:rsidP="00580787">
      <w:pPr>
        <w:jc w:val="both"/>
        <w:rPr>
          <w:rFonts w:ascii="Arial" w:hAnsi="Arial" w:cs="Arial"/>
        </w:rPr>
      </w:pPr>
    </w:p>
    <w:p w14:paraId="2082D640" w14:textId="77777777" w:rsidR="00580787" w:rsidRDefault="00580787" w:rsidP="00580787">
      <w:pPr>
        <w:jc w:val="both"/>
        <w:rPr>
          <w:rFonts w:ascii="Arial" w:hAnsi="Arial" w:cs="Arial"/>
        </w:rPr>
      </w:pPr>
    </w:p>
    <w:tbl>
      <w:tblPr>
        <w:tblW w:w="6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552"/>
        <w:gridCol w:w="1381"/>
        <w:gridCol w:w="1225"/>
      </w:tblGrid>
      <w:tr w:rsidR="00580787" w:rsidRPr="005C4F0C" w14:paraId="7B15CC61" w14:textId="77777777" w:rsidTr="001F1325">
        <w:trPr>
          <w:trHeight w:val="3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6229FE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bookmarkStart w:id="5" w:name="_MON_1422440498"/>
            <w:bookmarkEnd w:id="5"/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Municipio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F1DFD3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No. De Plantas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24605D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Capacidad litros/segundo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91D143" w14:textId="77777777" w:rsidR="00580787" w:rsidRPr="005C4F0C" w:rsidRDefault="00580787" w:rsidP="004740DC">
            <w:pPr>
              <w:ind w:right="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C4F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Costo-Beneficio</w:t>
            </w:r>
          </w:p>
        </w:tc>
      </w:tr>
      <w:tr w:rsidR="00580787" w:rsidRPr="005C4F0C" w14:paraId="1E7E0ABA" w14:textId="77777777" w:rsidTr="001F1325">
        <w:trPr>
          <w:trHeight w:val="156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ABAA" w14:textId="668A9FAB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 w:rsidR="00627769">
              <w:rPr>
                <w:rFonts w:ascii="Arial" w:eastAsia="Times New Roman" w:hAnsi="Arial" w:cs="Arial"/>
                <w:color w:val="000000"/>
                <w:lang w:eastAsia="es-MX"/>
              </w:rPr>
              <w:t>Banderilla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723" w14:textId="6378E8A2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 w:rsidR="001F1325">
              <w:rPr>
                <w:rFonts w:ascii="Arial" w:eastAsia="Times New Roman" w:hAnsi="Arial" w:cs="Arial"/>
                <w:color w:val="000000"/>
                <w:lang w:eastAsia="es-MX"/>
              </w:rPr>
              <w:t xml:space="preserve">1 Quetzalapan- </w:t>
            </w:r>
            <w:r w:rsidR="00627769">
              <w:rPr>
                <w:rFonts w:ascii="Arial" w:eastAsia="Times New Roman" w:hAnsi="Arial" w:cs="Arial"/>
                <w:color w:val="000000"/>
                <w:lang w:eastAsia="es-MX"/>
              </w:rPr>
              <w:t>Sedeño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F444" w14:textId="27F1F4C9" w:rsidR="00580787" w:rsidRPr="005C4F0C" w:rsidRDefault="00627769" w:rsidP="001F1325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65 l/s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9392" w14:textId="77777777" w:rsidR="00580787" w:rsidRPr="005C4F0C" w:rsidRDefault="00580787" w:rsidP="004740DC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627769" w:rsidRPr="005C4F0C" w14:paraId="7D84AC28" w14:textId="77777777" w:rsidTr="001F1325">
        <w:trPr>
          <w:trHeight w:val="14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4E5F" w14:textId="078E75C4" w:rsidR="00627769" w:rsidRPr="005C4F0C" w:rsidRDefault="00627769" w:rsidP="00627769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Banderilla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7351" w14:textId="18A7BE09" w:rsidR="00627769" w:rsidRPr="005C4F0C" w:rsidRDefault="00627769" w:rsidP="00627769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  <w:r w:rsidR="001F1325">
              <w:rPr>
                <w:rFonts w:ascii="Arial" w:eastAsia="Times New Roman" w:hAnsi="Arial" w:cs="Arial"/>
                <w:color w:val="000000"/>
                <w:lang w:eastAsia="es-MX"/>
              </w:rPr>
              <w:t xml:space="preserve">1 “El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Tabacal</w:t>
            </w:r>
            <w:r w:rsidR="001F1325">
              <w:rPr>
                <w:rFonts w:ascii="Arial" w:eastAsia="Times New Roman" w:hAnsi="Arial" w:cs="Arial"/>
                <w:color w:val="000000"/>
                <w:lang w:eastAsia="es-MX"/>
              </w:rPr>
              <w:t>”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DE56" w14:textId="084897B1" w:rsidR="00627769" w:rsidRPr="005C4F0C" w:rsidRDefault="00627769" w:rsidP="001F1325">
            <w:pPr>
              <w:ind w:right="0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l/s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8973" w14:textId="77777777" w:rsidR="00627769" w:rsidRPr="005C4F0C" w:rsidRDefault="00627769" w:rsidP="00627769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627769" w:rsidRPr="005C4F0C" w14:paraId="0638F7B2" w14:textId="77777777" w:rsidTr="001F1325">
        <w:trPr>
          <w:trHeight w:val="14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140" w14:textId="77777777" w:rsidR="00627769" w:rsidRPr="005C4F0C" w:rsidRDefault="00627769" w:rsidP="00627769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64DF" w14:textId="77777777" w:rsidR="00627769" w:rsidRPr="005C4F0C" w:rsidRDefault="00627769" w:rsidP="00627769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72B7" w14:textId="77777777" w:rsidR="00627769" w:rsidRPr="005C4F0C" w:rsidRDefault="00627769" w:rsidP="00627769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96B2" w14:textId="77777777" w:rsidR="00627769" w:rsidRPr="005C4F0C" w:rsidRDefault="00627769" w:rsidP="00627769">
            <w:pPr>
              <w:ind w:right="0"/>
              <w:jc w:val="lef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4F0C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</w:tbl>
    <w:p w14:paraId="528310A6" w14:textId="77777777" w:rsidR="00580787" w:rsidRPr="00256AB7" w:rsidRDefault="00580787" w:rsidP="00580787">
      <w:pPr>
        <w:jc w:val="both"/>
        <w:rPr>
          <w:rFonts w:ascii="Arial" w:hAnsi="Arial" w:cs="Arial"/>
        </w:rPr>
      </w:pPr>
    </w:p>
    <w:p w14:paraId="0F288773" w14:textId="77777777" w:rsidR="00580787" w:rsidRDefault="00580787" w:rsidP="00580787">
      <w:pPr>
        <w:jc w:val="both"/>
        <w:rPr>
          <w:rFonts w:ascii="Arial" w:hAnsi="Arial" w:cs="Arial"/>
          <w:b/>
        </w:rPr>
      </w:pPr>
    </w:p>
    <w:p w14:paraId="4783E7B7" w14:textId="6B9A4330" w:rsidR="00EB6D75" w:rsidRDefault="00EB6D75" w:rsidP="00580787">
      <w:pPr>
        <w:jc w:val="both"/>
        <w:rPr>
          <w:rFonts w:ascii="Arial" w:hAnsi="Arial" w:cs="Arial"/>
        </w:rPr>
      </w:pPr>
    </w:p>
    <w:p w14:paraId="18108618" w14:textId="4CF511B9" w:rsidR="00183D25" w:rsidRDefault="00183D25" w:rsidP="00580787">
      <w:pPr>
        <w:jc w:val="both"/>
        <w:rPr>
          <w:rFonts w:ascii="Arial" w:hAnsi="Arial" w:cs="Arial"/>
        </w:rPr>
      </w:pPr>
    </w:p>
    <w:p w14:paraId="70B5B93A" w14:textId="068FC9CE" w:rsidR="00183D25" w:rsidRDefault="00183D25" w:rsidP="00580787">
      <w:pPr>
        <w:jc w:val="both"/>
        <w:rPr>
          <w:rFonts w:ascii="Arial" w:hAnsi="Arial" w:cs="Arial"/>
        </w:rPr>
      </w:pPr>
    </w:p>
    <w:p w14:paraId="553D8E52" w14:textId="3589B941" w:rsidR="00183D25" w:rsidRDefault="00183D25" w:rsidP="00580787">
      <w:pPr>
        <w:jc w:val="both"/>
        <w:rPr>
          <w:rFonts w:ascii="Arial" w:hAnsi="Arial" w:cs="Arial"/>
        </w:rPr>
      </w:pPr>
    </w:p>
    <w:p w14:paraId="7F94C7CE" w14:textId="09C217D6" w:rsidR="00183D25" w:rsidRDefault="00183D25" w:rsidP="00580787">
      <w:pPr>
        <w:jc w:val="both"/>
        <w:rPr>
          <w:rFonts w:ascii="Arial" w:hAnsi="Arial" w:cs="Arial"/>
        </w:rPr>
      </w:pPr>
    </w:p>
    <w:p w14:paraId="761912BA" w14:textId="3AF06D4B" w:rsidR="00183D25" w:rsidRDefault="00183D25" w:rsidP="00580787">
      <w:pPr>
        <w:jc w:val="both"/>
        <w:rPr>
          <w:rFonts w:ascii="Arial" w:hAnsi="Arial" w:cs="Arial"/>
        </w:rPr>
      </w:pPr>
    </w:p>
    <w:p w14:paraId="349DBCAD" w14:textId="225BF7F0" w:rsidR="00183D25" w:rsidRDefault="00183D25" w:rsidP="00580787">
      <w:pPr>
        <w:jc w:val="both"/>
        <w:rPr>
          <w:rFonts w:ascii="Arial" w:hAnsi="Arial" w:cs="Arial"/>
        </w:rPr>
      </w:pPr>
    </w:p>
    <w:p w14:paraId="3D4389C7" w14:textId="63097E18" w:rsidR="00183D25" w:rsidRDefault="00183D25" w:rsidP="00580787">
      <w:pPr>
        <w:jc w:val="both"/>
        <w:rPr>
          <w:rFonts w:ascii="Arial" w:hAnsi="Arial" w:cs="Arial"/>
        </w:rPr>
      </w:pPr>
    </w:p>
    <w:p w14:paraId="7E3740A6" w14:textId="28B809A8" w:rsidR="00183D25" w:rsidRDefault="00183D25" w:rsidP="00580787">
      <w:pPr>
        <w:jc w:val="both"/>
        <w:rPr>
          <w:rFonts w:ascii="Arial" w:hAnsi="Arial" w:cs="Arial"/>
        </w:rPr>
      </w:pPr>
    </w:p>
    <w:p w14:paraId="3757347E" w14:textId="2785A409" w:rsidR="00183D25" w:rsidRDefault="00183D25" w:rsidP="00580787">
      <w:pPr>
        <w:jc w:val="both"/>
        <w:rPr>
          <w:rFonts w:ascii="Arial" w:hAnsi="Arial" w:cs="Arial"/>
        </w:rPr>
      </w:pPr>
    </w:p>
    <w:p w14:paraId="4CF2B414" w14:textId="15F32FB2" w:rsidR="00183D25" w:rsidRDefault="00183D25" w:rsidP="00580787">
      <w:pPr>
        <w:jc w:val="both"/>
        <w:rPr>
          <w:rFonts w:ascii="Arial" w:hAnsi="Arial" w:cs="Arial"/>
        </w:rPr>
      </w:pPr>
    </w:p>
    <w:p w14:paraId="2D797DA2" w14:textId="28D56BA5" w:rsidR="00183D25" w:rsidRDefault="00183D25" w:rsidP="00580787">
      <w:pPr>
        <w:jc w:val="both"/>
        <w:rPr>
          <w:rFonts w:ascii="Arial" w:hAnsi="Arial" w:cs="Arial"/>
        </w:rPr>
      </w:pPr>
    </w:p>
    <w:p w14:paraId="1E8F70D6" w14:textId="7FE877B0" w:rsidR="00183D25" w:rsidRDefault="00183D25" w:rsidP="00580787">
      <w:pPr>
        <w:jc w:val="both"/>
        <w:rPr>
          <w:rFonts w:ascii="Arial" w:hAnsi="Arial" w:cs="Arial"/>
        </w:rPr>
      </w:pPr>
    </w:p>
    <w:p w14:paraId="144492C0" w14:textId="25BE9450" w:rsidR="00183D25" w:rsidRDefault="00183D25" w:rsidP="00580787">
      <w:pPr>
        <w:jc w:val="both"/>
        <w:rPr>
          <w:rFonts w:ascii="Arial" w:hAnsi="Arial" w:cs="Arial"/>
        </w:rPr>
      </w:pPr>
    </w:p>
    <w:p w14:paraId="1B4C7C42" w14:textId="6047B67C" w:rsidR="00183D25" w:rsidRDefault="00183D25" w:rsidP="00580787">
      <w:pPr>
        <w:jc w:val="both"/>
        <w:rPr>
          <w:rFonts w:ascii="Arial" w:hAnsi="Arial" w:cs="Arial"/>
        </w:rPr>
      </w:pPr>
    </w:p>
    <w:p w14:paraId="3A3089F7" w14:textId="7329972D" w:rsidR="00183D25" w:rsidRDefault="00183D25" w:rsidP="00580787">
      <w:pPr>
        <w:jc w:val="both"/>
        <w:rPr>
          <w:rFonts w:ascii="Arial" w:hAnsi="Arial" w:cs="Arial"/>
        </w:rPr>
      </w:pPr>
    </w:p>
    <w:p w14:paraId="1D99A05F" w14:textId="29AA1C47" w:rsidR="00183D25" w:rsidRDefault="00183D25" w:rsidP="00580787">
      <w:pPr>
        <w:jc w:val="both"/>
        <w:rPr>
          <w:rFonts w:ascii="Arial" w:hAnsi="Arial" w:cs="Arial"/>
        </w:rPr>
      </w:pPr>
    </w:p>
    <w:p w14:paraId="7E0B995E" w14:textId="1E07B997" w:rsidR="00183D25" w:rsidRDefault="00183D25" w:rsidP="00580787">
      <w:pPr>
        <w:jc w:val="both"/>
        <w:rPr>
          <w:rFonts w:ascii="Arial" w:hAnsi="Arial" w:cs="Arial"/>
        </w:rPr>
      </w:pPr>
    </w:p>
    <w:p w14:paraId="296794DF" w14:textId="05C6FFA3" w:rsidR="00183D25" w:rsidRDefault="00183D25" w:rsidP="00580787">
      <w:pPr>
        <w:jc w:val="both"/>
        <w:rPr>
          <w:rFonts w:ascii="Arial" w:hAnsi="Arial" w:cs="Arial"/>
        </w:rPr>
      </w:pPr>
    </w:p>
    <w:p w14:paraId="3E49D4C6" w14:textId="3174917D" w:rsidR="00183D25" w:rsidRDefault="00183D25" w:rsidP="00580787">
      <w:pPr>
        <w:jc w:val="both"/>
        <w:rPr>
          <w:rFonts w:ascii="Arial" w:hAnsi="Arial" w:cs="Arial"/>
        </w:rPr>
      </w:pPr>
    </w:p>
    <w:p w14:paraId="5FFE2EEB" w14:textId="355AC44A" w:rsidR="00183D25" w:rsidRDefault="00183D25" w:rsidP="00580787">
      <w:pPr>
        <w:jc w:val="both"/>
        <w:rPr>
          <w:rFonts w:ascii="Arial" w:hAnsi="Arial" w:cs="Arial"/>
        </w:rPr>
      </w:pPr>
    </w:p>
    <w:p w14:paraId="76291954" w14:textId="21BDB28A" w:rsidR="00183D25" w:rsidRDefault="00183D25" w:rsidP="00580787">
      <w:pPr>
        <w:jc w:val="both"/>
        <w:rPr>
          <w:rFonts w:ascii="Arial" w:hAnsi="Arial" w:cs="Arial"/>
        </w:rPr>
      </w:pPr>
    </w:p>
    <w:p w14:paraId="057717E7" w14:textId="44DC9C22" w:rsidR="00183D25" w:rsidRDefault="00183D25" w:rsidP="00580787">
      <w:pPr>
        <w:jc w:val="both"/>
        <w:rPr>
          <w:rFonts w:ascii="Arial" w:hAnsi="Arial" w:cs="Arial"/>
        </w:rPr>
      </w:pPr>
    </w:p>
    <w:p w14:paraId="5E5EAC6D" w14:textId="7109B6E6" w:rsidR="00183D25" w:rsidRDefault="00183D25" w:rsidP="00580787">
      <w:pPr>
        <w:jc w:val="both"/>
        <w:rPr>
          <w:rFonts w:ascii="Arial" w:hAnsi="Arial" w:cs="Arial"/>
        </w:rPr>
      </w:pPr>
    </w:p>
    <w:p w14:paraId="1CBA8593" w14:textId="3AA32129" w:rsidR="00183D25" w:rsidRDefault="00183D25" w:rsidP="00580787">
      <w:pPr>
        <w:jc w:val="both"/>
        <w:rPr>
          <w:rFonts w:ascii="Arial" w:hAnsi="Arial" w:cs="Arial"/>
        </w:rPr>
      </w:pPr>
    </w:p>
    <w:p w14:paraId="1F3BE3AF" w14:textId="579A767B" w:rsidR="00183D25" w:rsidRDefault="00183D25" w:rsidP="00580787">
      <w:pPr>
        <w:jc w:val="both"/>
        <w:rPr>
          <w:rFonts w:ascii="Arial" w:hAnsi="Arial" w:cs="Arial"/>
        </w:rPr>
      </w:pPr>
    </w:p>
    <w:p w14:paraId="5BC03894" w14:textId="7847752E" w:rsidR="00183D25" w:rsidRDefault="00183D25" w:rsidP="00580787">
      <w:pPr>
        <w:jc w:val="both"/>
        <w:rPr>
          <w:rFonts w:ascii="Arial" w:hAnsi="Arial" w:cs="Arial"/>
        </w:rPr>
      </w:pPr>
    </w:p>
    <w:p w14:paraId="686769BC" w14:textId="62502D3B" w:rsidR="00183D25" w:rsidRDefault="00183D25" w:rsidP="00580787">
      <w:pPr>
        <w:jc w:val="both"/>
        <w:rPr>
          <w:rFonts w:ascii="Arial" w:hAnsi="Arial" w:cs="Arial"/>
        </w:rPr>
      </w:pPr>
    </w:p>
    <w:p w14:paraId="38E42BC4" w14:textId="246FD74B" w:rsidR="00183D25" w:rsidRDefault="00183D25" w:rsidP="00580787">
      <w:pPr>
        <w:jc w:val="both"/>
        <w:rPr>
          <w:rFonts w:ascii="Arial" w:hAnsi="Arial" w:cs="Arial"/>
        </w:rPr>
      </w:pPr>
    </w:p>
    <w:p w14:paraId="71A330F5" w14:textId="1C9A299B" w:rsidR="00183D25" w:rsidRDefault="00183D25" w:rsidP="00580787">
      <w:pPr>
        <w:jc w:val="both"/>
        <w:rPr>
          <w:rFonts w:ascii="Arial" w:hAnsi="Arial" w:cs="Arial"/>
        </w:rPr>
      </w:pPr>
    </w:p>
    <w:p w14:paraId="613AE9DC" w14:textId="2C2A92DC" w:rsidR="00183D25" w:rsidRDefault="00183D25" w:rsidP="00580787">
      <w:pPr>
        <w:jc w:val="both"/>
        <w:rPr>
          <w:rFonts w:ascii="Arial" w:hAnsi="Arial" w:cs="Arial"/>
        </w:rPr>
      </w:pPr>
    </w:p>
    <w:p w14:paraId="7850D803" w14:textId="507BDFFA" w:rsidR="00183D25" w:rsidRDefault="00183D25" w:rsidP="00580787">
      <w:pPr>
        <w:jc w:val="both"/>
        <w:rPr>
          <w:rFonts w:ascii="Arial" w:hAnsi="Arial" w:cs="Arial"/>
        </w:rPr>
      </w:pPr>
    </w:p>
    <w:p w14:paraId="3B4C6172" w14:textId="77777777" w:rsidR="00183D25" w:rsidRDefault="00183D25" w:rsidP="00580787">
      <w:pPr>
        <w:jc w:val="both"/>
        <w:rPr>
          <w:rFonts w:ascii="Arial" w:hAnsi="Arial" w:cs="Arial"/>
        </w:rPr>
      </w:pPr>
    </w:p>
    <w:p w14:paraId="310BEB61" w14:textId="3151B005" w:rsidR="00C96EE7" w:rsidRDefault="00C96EE7" w:rsidP="00580787">
      <w:pPr>
        <w:jc w:val="both"/>
        <w:rPr>
          <w:rFonts w:ascii="Arial" w:hAnsi="Arial" w:cs="Arial"/>
        </w:rPr>
      </w:pPr>
    </w:p>
    <w:p w14:paraId="25DA8A1B" w14:textId="4BF102ED" w:rsidR="00C96EE7" w:rsidRDefault="00C96EE7" w:rsidP="00580787">
      <w:pPr>
        <w:jc w:val="both"/>
        <w:rPr>
          <w:rFonts w:ascii="Arial" w:hAnsi="Arial" w:cs="Arial"/>
        </w:rPr>
      </w:pPr>
    </w:p>
    <w:p w14:paraId="780A251F" w14:textId="383F0D19" w:rsidR="00C96EE7" w:rsidRDefault="00C96EE7" w:rsidP="00580787">
      <w:pPr>
        <w:jc w:val="both"/>
        <w:rPr>
          <w:rFonts w:ascii="Arial" w:hAnsi="Arial" w:cs="Arial"/>
        </w:rPr>
      </w:pPr>
    </w:p>
    <w:p w14:paraId="65E65537" w14:textId="506016B7" w:rsidR="00C96EE7" w:rsidRDefault="00C96EE7" w:rsidP="00580787">
      <w:pPr>
        <w:jc w:val="both"/>
        <w:rPr>
          <w:rFonts w:ascii="Arial" w:hAnsi="Arial" w:cs="Arial"/>
        </w:rPr>
      </w:pPr>
    </w:p>
    <w:p w14:paraId="11544E5D" w14:textId="6A4EFE21" w:rsidR="00C96EE7" w:rsidRDefault="00C96EE7" w:rsidP="00580787">
      <w:pPr>
        <w:jc w:val="both"/>
        <w:rPr>
          <w:rFonts w:ascii="Arial" w:hAnsi="Arial" w:cs="Arial"/>
        </w:rPr>
      </w:pPr>
    </w:p>
    <w:p w14:paraId="7378289A" w14:textId="63BA9C5F" w:rsidR="00C96EE7" w:rsidRDefault="00C96EE7" w:rsidP="00580787">
      <w:pPr>
        <w:jc w:val="both"/>
        <w:rPr>
          <w:rFonts w:ascii="Arial" w:hAnsi="Arial" w:cs="Arial"/>
        </w:rPr>
      </w:pPr>
    </w:p>
    <w:p w14:paraId="7493BCBB" w14:textId="77777777" w:rsidR="00C96EE7" w:rsidRDefault="00C96EE7" w:rsidP="00580787">
      <w:pPr>
        <w:jc w:val="both"/>
        <w:rPr>
          <w:rFonts w:ascii="Arial" w:hAnsi="Arial" w:cs="Arial"/>
        </w:rPr>
      </w:pPr>
    </w:p>
    <w:p w14:paraId="526B3449" w14:textId="75C1B027" w:rsidR="00EB6D75" w:rsidRDefault="00EB6D75" w:rsidP="00580787">
      <w:pPr>
        <w:jc w:val="both"/>
        <w:rPr>
          <w:rFonts w:ascii="Arial" w:hAnsi="Arial" w:cs="Arial"/>
        </w:rPr>
      </w:pPr>
    </w:p>
    <w:p w14:paraId="4C6CED57" w14:textId="09D9F9FA" w:rsidR="00EB6D75" w:rsidRDefault="00EB6D75" w:rsidP="00580787">
      <w:pPr>
        <w:jc w:val="both"/>
        <w:rPr>
          <w:rFonts w:ascii="Arial" w:hAnsi="Arial" w:cs="Arial"/>
        </w:rPr>
      </w:pPr>
    </w:p>
    <w:p w14:paraId="5D5645FD" w14:textId="1FDEA277" w:rsidR="00EB6D75" w:rsidRDefault="00EB6D75" w:rsidP="00EB6D75">
      <w:pPr>
        <w:rPr>
          <w:rFonts w:ascii="Arial" w:hAnsi="Arial" w:cs="Arial"/>
          <w:b/>
          <w:bCs/>
          <w:sz w:val="24"/>
          <w:szCs w:val="24"/>
        </w:rPr>
      </w:pPr>
      <w:r w:rsidRPr="007B2321">
        <w:rPr>
          <w:rFonts w:ascii="Arial" w:hAnsi="Arial" w:cs="Arial"/>
          <w:b/>
          <w:bCs/>
          <w:sz w:val="24"/>
          <w:szCs w:val="24"/>
        </w:rPr>
        <w:t>Anexos del Cuestionario</w:t>
      </w:r>
      <w:r w:rsidR="00E60D80">
        <w:rPr>
          <w:rFonts w:ascii="Arial" w:hAnsi="Arial" w:cs="Arial"/>
          <w:b/>
          <w:bCs/>
          <w:sz w:val="24"/>
          <w:szCs w:val="24"/>
        </w:rPr>
        <w:t xml:space="preserve"> de Banderilla, Ver.</w:t>
      </w:r>
    </w:p>
    <w:p w14:paraId="79F13BB3" w14:textId="77777777" w:rsidR="00EB6D75" w:rsidRPr="007B2321" w:rsidRDefault="00EB6D75" w:rsidP="00EB6D75">
      <w:pPr>
        <w:rPr>
          <w:rFonts w:ascii="Arial" w:hAnsi="Arial" w:cs="Arial"/>
          <w:b/>
          <w:bCs/>
          <w:sz w:val="24"/>
          <w:szCs w:val="24"/>
        </w:rPr>
      </w:pPr>
    </w:p>
    <w:p w14:paraId="51C7E322" w14:textId="77777777" w:rsidR="00EB6D75" w:rsidRDefault="00EB6D75" w:rsidP="00EB6D75">
      <w:pPr>
        <w:pStyle w:val="Prrafodelista"/>
        <w:numPr>
          <w:ilvl w:val="0"/>
          <w:numId w:val="2"/>
        </w:numPr>
        <w:spacing w:after="160" w:line="360" w:lineRule="auto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Resumen de artículos de la Ley 21 de aguas del Estado de Veracruz, que facultan el cobro de los servicios de agua potable.</w:t>
      </w:r>
    </w:p>
    <w:p w14:paraId="7C618297" w14:textId="77777777" w:rsidR="00EB6D75" w:rsidRDefault="00EB6D75" w:rsidP="00EB6D75">
      <w:pPr>
        <w:pStyle w:val="Prrafodelista"/>
        <w:numPr>
          <w:ilvl w:val="0"/>
          <w:numId w:val="2"/>
        </w:numPr>
        <w:spacing w:after="160" w:line="360" w:lineRule="auto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Tabla descriptiva del total de usuarios, </w:t>
      </w:r>
      <w:r w:rsidRPr="0069142D">
        <w:rPr>
          <w:rFonts w:ascii="Arial" w:hAnsi="Arial" w:cs="Arial"/>
          <w:sz w:val="24"/>
          <w:szCs w:val="24"/>
        </w:rPr>
        <w:t>usuarios con medidor y usuarios con cuota fija</w:t>
      </w:r>
      <w:r>
        <w:rPr>
          <w:rFonts w:ascii="Arial" w:hAnsi="Arial" w:cs="Arial"/>
          <w:sz w:val="24"/>
          <w:szCs w:val="24"/>
        </w:rPr>
        <w:t>, indicando porcentaje de la recaudación.</w:t>
      </w:r>
    </w:p>
    <w:p w14:paraId="43DBC2A2" w14:textId="77777777" w:rsidR="00EB6D75" w:rsidRDefault="00EB6D75" w:rsidP="00EB6D75">
      <w:pPr>
        <w:pStyle w:val="Prrafodelista"/>
        <w:numPr>
          <w:ilvl w:val="0"/>
          <w:numId w:val="2"/>
        </w:numPr>
        <w:spacing w:after="160" w:line="360" w:lineRule="auto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usuarios de servicio medido y usuarios por rango de consumo, con ingresos estimados.</w:t>
      </w:r>
    </w:p>
    <w:p w14:paraId="60C68A5B" w14:textId="77777777" w:rsidR="00EB6D75" w:rsidRDefault="00EB6D75" w:rsidP="00EB6D75">
      <w:pPr>
        <w:pStyle w:val="Prrafodelista"/>
        <w:numPr>
          <w:ilvl w:val="0"/>
          <w:numId w:val="2"/>
        </w:numPr>
        <w:spacing w:after="160" w:line="360" w:lineRule="auto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tarifas vigentes 2024</w:t>
      </w:r>
    </w:p>
    <w:p w14:paraId="3BB6A62B" w14:textId="77777777" w:rsidR="00EB6D75" w:rsidRDefault="00EB6D75" w:rsidP="00EB6D7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9142D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. Acta de Órgano de Gobierno para autorización de tarifas 2024</w:t>
      </w:r>
    </w:p>
    <w:p w14:paraId="691182AE" w14:textId="77777777" w:rsidR="00EB6D75" w:rsidRDefault="00EB6D75" w:rsidP="00EB6D7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Tabla del comportamiento de los ingresos 2022-2024</w:t>
      </w:r>
    </w:p>
    <w:p w14:paraId="5FCF3CDA" w14:textId="77777777" w:rsidR="00EB6D75" w:rsidRDefault="00EB6D75" w:rsidP="00EB6D75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 Determinación de la eficiencia comercial</w:t>
      </w:r>
    </w:p>
    <w:p w14:paraId="2C5E69C3" w14:textId="77777777" w:rsidR="00EB6D75" w:rsidRDefault="00EB6D75" w:rsidP="00EB6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5. Copia de la Gaceta Oficial que Publica la Creación de la CMAP-Banderilla </w:t>
      </w:r>
    </w:p>
    <w:p w14:paraId="3D0C2D44" w14:textId="77777777" w:rsidR="00EB6D75" w:rsidRDefault="00EB6D75" w:rsidP="00EB6D75">
      <w:pPr>
        <w:spacing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6. Relación o cuadro descriptivo de las acciones de incremento de la eficiencia     comercial y administrativa </w:t>
      </w:r>
    </w:p>
    <w:p w14:paraId="173151DD" w14:textId="77777777" w:rsidR="00EB6D75" w:rsidRDefault="00EB6D75" w:rsidP="00EB6D75">
      <w:pPr>
        <w:spacing w:line="360" w:lineRule="auto"/>
        <w:ind w:left="426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7. Formatos de control y reportes comerciales </w:t>
      </w:r>
    </w:p>
    <w:p w14:paraId="5A1E3BB0" w14:textId="77777777" w:rsidR="00EB6D75" w:rsidRPr="0069142D" w:rsidRDefault="00EB6D75" w:rsidP="00EB6D75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Analítico de ingresos y balanza de comprobación del ejercicio 2024 de la CMAP-Banderilla </w:t>
      </w:r>
    </w:p>
    <w:p w14:paraId="0A57975B" w14:textId="77777777" w:rsidR="00EB6D75" w:rsidRDefault="00EB6D75" w:rsidP="00580787">
      <w:pPr>
        <w:jc w:val="both"/>
      </w:pPr>
    </w:p>
    <w:sectPr w:rsidR="00EB6D7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6EC76" w14:textId="77777777" w:rsidR="004C7F46" w:rsidRDefault="004C7F46" w:rsidP="00580787">
      <w:r>
        <w:separator/>
      </w:r>
    </w:p>
  </w:endnote>
  <w:endnote w:type="continuationSeparator" w:id="0">
    <w:p w14:paraId="549500A4" w14:textId="77777777" w:rsidR="004C7F46" w:rsidRDefault="004C7F46" w:rsidP="005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A6497" w14:textId="77777777" w:rsidR="004C7F46" w:rsidRDefault="004C7F46" w:rsidP="00580787">
      <w:r>
        <w:separator/>
      </w:r>
    </w:p>
  </w:footnote>
  <w:footnote w:type="continuationSeparator" w:id="0">
    <w:p w14:paraId="5FE38E93" w14:textId="77777777" w:rsidR="004C7F46" w:rsidRDefault="004C7F46" w:rsidP="0058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4771B" w14:textId="77777777" w:rsidR="00580787" w:rsidRDefault="00580787" w:rsidP="00580787">
    <w:pPr>
      <w:pStyle w:val="Encabezado"/>
      <w:pBdr>
        <w:bottom w:val="single" w:sz="4" w:space="1" w:color="auto"/>
      </w:pBdr>
      <w:jc w:val="right"/>
      <w:rPr>
        <w:rFonts w:ascii="Arial" w:hAnsi="Arial" w:cs="Arial"/>
        <w:noProof/>
        <w:sz w:val="18"/>
        <w:lang w:eastAsia="es-MX"/>
      </w:rPr>
    </w:pPr>
    <w:r w:rsidRPr="00A031D2">
      <w:rPr>
        <w:rFonts w:ascii="Arial" w:hAnsi="Arial" w:cs="Arial"/>
        <w:noProof/>
        <w:sz w:val="18"/>
        <w:lang w:eastAsia="es-MX"/>
      </w:rPr>
      <w:t xml:space="preserve">Cuestionario Derechos por </w:t>
    </w:r>
    <w:r>
      <w:rPr>
        <w:rFonts w:ascii="Arial" w:hAnsi="Arial" w:cs="Arial"/>
        <w:noProof/>
        <w:sz w:val="18"/>
        <w:lang w:eastAsia="es-MX"/>
      </w:rPr>
      <w:t>Suministro</w:t>
    </w:r>
    <w:r w:rsidRPr="00A031D2">
      <w:rPr>
        <w:rFonts w:ascii="Arial" w:hAnsi="Arial" w:cs="Arial"/>
        <w:noProof/>
        <w:sz w:val="18"/>
        <w:lang w:eastAsia="es-MX"/>
      </w:rPr>
      <w:t xml:space="preserve"> de Agua. Ejercicio 20</w:t>
    </w:r>
    <w:r>
      <w:rPr>
        <w:rFonts w:ascii="Arial" w:hAnsi="Arial" w:cs="Arial"/>
        <w:noProof/>
        <w:sz w:val="18"/>
        <w:lang w:eastAsia="es-MX"/>
      </w:rPr>
      <w:t>24</w:t>
    </w:r>
  </w:p>
  <w:p w14:paraId="40CA3FF8" w14:textId="77777777" w:rsidR="00580787" w:rsidRDefault="00580787" w:rsidP="00580787">
    <w:pPr>
      <w:pStyle w:val="Encabezado"/>
      <w:pBdr>
        <w:bottom w:val="single" w:sz="4" w:space="1" w:color="auto"/>
      </w:pBdr>
      <w:jc w:val="right"/>
      <w:rPr>
        <w:rFonts w:ascii="Arial" w:hAnsi="Arial" w:cs="Arial"/>
        <w:noProof/>
        <w:sz w:val="18"/>
        <w:lang w:eastAsia="es-MX"/>
      </w:rPr>
    </w:pPr>
  </w:p>
  <w:p w14:paraId="2A04DBEC" w14:textId="77777777" w:rsidR="00580787" w:rsidRDefault="005807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C99"/>
    <w:multiLevelType w:val="hybridMultilevel"/>
    <w:tmpl w:val="9B8A75A6"/>
    <w:lvl w:ilvl="0" w:tplc="ED8CB2F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7052"/>
    <w:multiLevelType w:val="hybridMultilevel"/>
    <w:tmpl w:val="4D44AD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B6F"/>
    <w:multiLevelType w:val="hybridMultilevel"/>
    <w:tmpl w:val="ACDCFE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87"/>
    <w:rsid w:val="0001140D"/>
    <w:rsid w:val="000360EA"/>
    <w:rsid w:val="00116228"/>
    <w:rsid w:val="00125A4F"/>
    <w:rsid w:val="00183D25"/>
    <w:rsid w:val="001F1325"/>
    <w:rsid w:val="00210680"/>
    <w:rsid w:val="00325F97"/>
    <w:rsid w:val="0037764D"/>
    <w:rsid w:val="003D5E55"/>
    <w:rsid w:val="00442FDF"/>
    <w:rsid w:val="004C7F46"/>
    <w:rsid w:val="004F2BC5"/>
    <w:rsid w:val="00580787"/>
    <w:rsid w:val="00627769"/>
    <w:rsid w:val="006A1314"/>
    <w:rsid w:val="007B025D"/>
    <w:rsid w:val="00887165"/>
    <w:rsid w:val="009F4CA4"/>
    <w:rsid w:val="00A66050"/>
    <w:rsid w:val="00AC57FD"/>
    <w:rsid w:val="00B266BE"/>
    <w:rsid w:val="00B609C3"/>
    <w:rsid w:val="00C96EE7"/>
    <w:rsid w:val="00D65987"/>
    <w:rsid w:val="00E60D80"/>
    <w:rsid w:val="00E73B54"/>
    <w:rsid w:val="00EB6D75"/>
    <w:rsid w:val="00EE4DEF"/>
    <w:rsid w:val="00F65B65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435593"/>
  <w15:chartTrackingRefBased/>
  <w15:docId w15:val="{D4511880-6B8A-4825-9CBB-B5DE95E3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787"/>
    <w:pPr>
      <w:spacing w:after="0" w:line="240" w:lineRule="auto"/>
      <w:ind w:right="51"/>
      <w:jc w:val="center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7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787"/>
  </w:style>
  <w:style w:type="paragraph" w:styleId="Piedepgina">
    <w:name w:val="footer"/>
    <w:basedOn w:val="Normal"/>
    <w:link w:val="PiedepginaCar"/>
    <w:uiPriority w:val="99"/>
    <w:unhideWhenUsed/>
    <w:rsid w:val="005807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787"/>
  </w:style>
  <w:style w:type="paragraph" w:styleId="Prrafodelista">
    <w:name w:val="List Paragraph"/>
    <w:basedOn w:val="Normal"/>
    <w:uiPriority w:val="34"/>
    <w:qFormat/>
    <w:rsid w:val="00580787"/>
    <w:pPr>
      <w:ind w:left="720"/>
      <w:contextualSpacing/>
    </w:pPr>
  </w:style>
  <w:style w:type="paragraph" w:styleId="Ttulo">
    <w:name w:val="Title"/>
    <w:basedOn w:val="Normal"/>
    <w:link w:val="TtuloCar"/>
    <w:qFormat/>
    <w:rsid w:val="00580787"/>
    <w:pPr>
      <w:ind w:right="0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58078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0787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D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D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Elizabeth Solorzano Ibañez</dc:creator>
  <cp:keywords/>
  <dc:description/>
  <cp:lastModifiedBy>COMERCIAL</cp:lastModifiedBy>
  <cp:revision>2</cp:revision>
  <cp:lastPrinted>2025-03-28T20:53:00Z</cp:lastPrinted>
  <dcterms:created xsi:type="dcterms:W3CDTF">2025-03-28T20:56:00Z</dcterms:created>
  <dcterms:modified xsi:type="dcterms:W3CDTF">2025-03-28T20:56:00Z</dcterms:modified>
</cp:coreProperties>
</file>