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87" w:rsidRPr="00A031D2" w:rsidRDefault="00580787" w:rsidP="00580787">
      <w:pPr>
        <w:pStyle w:val="Ttulo"/>
        <w:outlineLvl w:val="0"/>
        <w:rPr>
          <w:rFonts w:ascii="Arial" w:hAnsi="Arial" w:cs="Arial"/>
          <w:sz w:val="32"/>
          <w:szCs w:val="32"/>
        </w:rPr>
      </w:pPr>
      <w:r w:rsidRPr="00A031D2">
        <w:rPr>
          <w:rFonts w:ascii="Arial" w:hAnsi="Arial" w:cs="Arial"/>
          <w:sz w:val="32"/>
          <w:szCs w:val="32"/>
        </w:rPr>
        <w:t xml:space="preserve">Contribución Local: Derechos por Suministro de Agua </w:t>
      </w:r>
    </w:p>
    <w:p w:rsidR="00580787" w:rsidRPr="00A031D2" w:rsidRDefault="00580787" w:rsidP="00580787">
      <w:pPr>
        <w:pStyle w:val="Ttulo"/>
        <w:rPr>
          <w:rFonts w:ascii="Arial" w:hAnsi="Arial" w:cs="Arial"/>
          <w:sz w:val="32"/>
          <w:szCs w:val="32"/>
        </w:rPr>
      </w:pPr>
    </w:p>
    <w:p w:rsidR="00580787" w:rsidRPr="00A031D2" w:rsidRDefault="00580787" w:rsidP="00580787">
      <w:pPr>
        <w:pStyle w:val="Ttulo"/>
        <w:outlineLvl w:val="0"/>
        <w:rPr>
          <w:rFonts w:ascii="Arial" w:hAnsi="Arial" w:cs="Arial"/>
          <w:sz w:val="32"/>
          <w:szCs w:val="32"/>
        </w:rPr>
      </w:pPr>
      <w:r w:rsidRPr="00A031D2">
        <w:rPr>
          <w:rFonts w:ascii="Arial" w:hAnsi="Arial" w:cs="Arial"/>
          <w:sz w:val="32"/>
          <w:szCs w:val="32"/>
        </w:rPr>
        <w:t>CUESTIONARIO EJERCICIO 20</w:t>
      </w:r>
      <w:r>
        <w:rPr>
          <w:rFonts w:ascii="Arial" w:hAnsi="Arial" w:cs="Arial"/>
          <w:sz w:val="32"/>
          <w:szCs w:val="32"/>
        </w:rPr>
        <w:t>24</w:t>
      </w:r>
    </w:p>
    <w:p w:rsidR="00580787" w:rsidRPr="00A031D2" w:rsidRDefault="00580787" w:rsidP="00580787">
      <w:pPr>
        <w:pStyle w:val="Ttulo"/>
        <w:rPr>
          <w:rFonts w:ascii="Arial" w:hAnsi="Arial" w:cs="Arial"/>
          <w:sz w:val="32"/>
          <w:szCs w:val="32"/>
        </w:rPr>
      </w:pPr>
    </w:p>
    <w:p w:rsidR="00580787" w:rsidRPr="00A031D2" w:rsidRDefault="00580787" w:rsidP="00580787">
      <w:pPr>
        <w:rPr>
          <w:rFonts w:ascii="Arial" w:hAnsi="Arial" w:cs="Arial"/>
          <w:sz w:val="32"/>
          <w:szCs w:val="32"/>
        </w:rPr>
      </w:pPr>
    </w:p>
    <w:p w:rsidR="00580787" w:rsidRPr="00775A1C" w:rsidRDefault="00580787" w:rsidP="00094686">
      <w:pPr>
        <w:tabs>
          <w:tab w:val="left" w:pos="2835"/>
          <w:tab w:val="left" w:pos="676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CEBD" wp14:editId="4988069F">
                <wp:simplePos x="0" y="0"/>
                <wp:positionH relativeFrom="column">
                  <wp:posOffset>3819525</wp:posOffset>
                </wp:positionH>
                <wp:positionV relativeFrom="paragraph">
                  <wp:posOffset>184150</wp:posOffset>
                </wp:positionV>
                <wp:extent cx="1714500" cy="0"/>
                <wp:effectExtent l="9525" t="12700" r="9525" b="63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30C2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14.5pt" to="43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S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H2lOX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"/>
            </w:pict>
          </mc:Fallback>
        </mc:AlternateContent>
      </w:r>
      <w:r w:rsidRPr="00A031D2">
        <w:rPr>
          <w:rFonts w:ascii="Arial" w:hAnsi="Arial" w:cs="Arial"/>
          <w:b/>
          <w:sz w:val="32"/>
          <w:szCs w:val="32"/>
        </w:rPr>
        <w:t xml:space="preserve">                  </w:t>
      </w:r>
      <w:r>
        <w:rPr>
          <w:rFonts w:ascii="Arial" w:hAnsi="Arial" w:cs="Arial"/>
          <w:b/>
          <w:sz w:val="32"/>
          <w:szCs w:val="32"/>
        </w:rPr>
        <w:tab/>
        <w:t xml:space="preserve">Entidad Federativa:    </w:t>
      </w:r>
      <w:r w:rsidR="00094686">
        <w:rPr>
          <w:rFonts w:ascii="Arial" w:hAnsi="Arial" w:cs="Arial"/>
          <w:b/>
          <w:sz w:val="32"/>
          <w:szCs w:val="32"/>
        </w:rPr>
        <w:tab/>
      </w:r>
      <w:r w:rsidR="008723F9">
        <w:rPr>
          <w:rFonts w:ascii="Arial" w:hAnsi="Arial" w:cs="Arial"/>
          <w:b/>
          <w:sz w:val="32"/>
          <w:szCs w:val="32"/>
        </w:rPr>
        <w:t xml:space="preserve"> </w:t>
      </w:r>
      <w:r w:rsidR="00094686">
        <w:rPr>
          <w:rFonts w:ascii="Arial" w:hAnsi="Arial" w:cs="Arial"/>
          <w:b/>
          <w:sz w:val="32"/>
          <w:szCs w:val="32"/>
        </w:rPr>
        <w:t>Veracruz</w:t>
      </w:r>
    </w:p>
    <w:p w:rsidR="00580787" w:rsidRPr="00A031D2" w:rsidRDefault="00580787" w:rsidP="00580787">
      <w:pPr>
        <w:jc w:val="both"/>
        <w:rPr>
          <w:rFonts w:ascii="Arial" w:hAnsi="Arial" w:cs="Arial"/>
          <w:sz w:val="32"/>
          <w:szCs w:val="32"/>
        </w:rPr>
      </w:pP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580787" w:rsidRPr="00750DA8" w:rsidRDefault="00580787" w:rsidP="00750DA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50DA8">
        <w:rPr>
          <w:rFonts w:ascii="Arial" w:hAnsi="Arial" w:cs="Arial"/>
        </w:rPr>
        <w:t>Señale los elementos constitutivos vigentes del año que se informa de los Derechos por el Suministro de Agua, indicando el ordenamiento legal y el número de artículo en el que se establece. (Es necesario que se anexen los ordenamientos legales donde se precisan, en caso de ser diferentes entre los municipios, agrúpelos por similitud y señale las diferencias entre ellos).</w:t>
      </w:r>
    </w:p>
    <w:p w:rsidR="00750DA8" w:rsidRDefault="00750DA8" w:rsidP="00750DA8">
      <w:pPr>
        <w:pStyle w:val="Prrafodelista"/>
        <w:jc w:val="both"/>
        <w:rPr>
          <w:rFonts w:ascii="Arial" w:hAnsi="Arial" w:cs="Arial"/>
        </w:rPr>
      </w:pPr>
    </w:p>
    <w:p w:rsidR="00750DA8" w:rsidRPr="003B51C9" w:rsidRDefault="00750DA8" w:rsidP="00750DA8">
      <w:pPr>
        <w:pStyle w:val="Prrafodelista"/>
        <w:jc w:val="both"/>
        <w:rPr>
          <w:rFonts w:ascii="Arial" w:hAnsi="Arial" w:cs="Arial"/>
          <w:b/>
        </w:rPr>
      </w:pPr>
      <w:r w:rsidRPr="003B51C9">
        <w:rPr>
          <w:rFonts w:ascii="Arial" w:hAnsi="Arial" w:cs="Arial"/>
          <w:b/>
        </w:rPr>
        <w:t>R: Gaceta Oficial de cobro del año 2023, Gaceta Oficial de Cobro del año 2024, Ley 21 de Agua del estado de Veracruz, Código hacendario del Municipio de Tierra Blanca, Veracruz.</w:t>
      </w: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2. La determinación del consumo de agua se realiza mediante: </w:t>
      </w: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Del="009A1D38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                      </w:t>
      </w:r>
      <w:bookmarkStart w:id="0" w:name="_MON_1422439410"/>
      <w:bookmarkEnd w:id="0"/>
    </w:p>
    <w:tbl>
      <w:tblPr>
        <w:tblW w:w="5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1467"/>
        <w:gridCol w:w="1702"/>
      </w:tblGrid>
      <w:tr w:rsidR="00580787" w:rsidRPr="005C4F0C" w:rsidTr="00EA30FA">
        <w:trPr>
          <w:trHeight w:val="416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Tomas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Recaudación</w:t>
            </w:r>
          </w:p>
        </w:tc>
      </w:tr>
      <w:tr w:rsidR="00580787" w:rsidRPr="005C4F0C" w:rsidTr="00EA30FA">
        <w:trPr>
          <w:trHeight w:val="26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Número total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A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5A4BE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A4B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</w:tr>
      <w:tr w:rsidR="00580787" w:rsidRPr="005C4F0C" w:rsidTr="00EA30FA">
        <w:trPr>
          <w:trHeight w:val="26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Aparato medidor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0E6EFE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A4B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80%</w:t>
            </w:r>
          </w:p>
        </w:tc>
      </w:tr>
      <w:tr w:rsidR="00580787" w:rsidRPr="005C4F0C" w:rsidTr="00EA30FA">
        <w:trPr>
          <w:trHeight w:val="26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Cuota Fija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B5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A4B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580787" w:rsidRPr="005C4F0C" w:rsidTr="00EA30FA">
        <w:trPr>
          <w:trHeight w:val="262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Otra(Especifique)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  <w:color w:val="000000"/>
        </w:rPr>
      </w:pPr>
      <w:r w:rsidRPr="00256AB7">
        <w:rPr>
          <w:rFonts w:ascii="Arial" w:hAnsi="Arial" w:cs="Arial"/>
          <w:color w:val="000000"/>
        </w:rPr>
        <w:t>3. En caso de que exista un costo diferencial en función de la cantidad de metros cúbicos consumidos, especifique éstos y señale la recaudación que se obtiene por cada uno de ellos.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B55311" w:rsidRDefault="00B55311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5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218"/>
        <w:gridCol w:w="2120"/>
      </w:tblGrid>
      <w:tr w:rsidR="00580787" w:rsidRPr="005C4F0C" w:rsidTr="00FE0235">
        <w:trPr>
          <w:trHeight w:val="67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863C96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863C96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Consumo metros cúbicos (</w:t>
            </w:r>
            <w:proofErr w:type="spellStart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ejem</w:t>
            </w:r>
            <w:proofErr w:type="spellEnd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.)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863C96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580787" w:rsidRPr="005C4F0C" w:rsidTr="00FE0235">
        <w:trPr>
          <w:trHeight w:val="27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Pr="005C4F0C" w:rsidRDefault="00580787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63C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96" w:rsidRDefault="00863C96" w:rsidP="00863C96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0-15</w:t>
            </w:r>
          </w:p>
          <w:p w:rsidR="00580787" w:rsidRPr="005C4F0C" w:rsidRDefault="00580787" w:rsidP="00863C96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Default="00580787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565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$124.56 domestico</w:t>
            </w:r>
          </w:p>
          <w:p w:rsidR="00E5655E" w:rsidRPr="005C4F0C" w:rsidRDefault="00E5655E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$208.88 no domestico</w:t>
            </w:r>
          </w:p>
        </w:tc>
      </w:tr>
      <w:tr w:rsidR="00580787" w:rsidRPr="005C4F0C" w:rsidTr="00FE0235">
        <w:trPr>
          <w:trHeight w:val="27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Pr="005C4F0C" w:rsidRDefault="00863C96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96" w:rsidRDefault="00863C96" w:rsidP="00863C96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16-40</w:t>
            </w:r>
          </w:p>
          <w:p w:rsidR="00580787" w:rsidRPr="005C4F0C" w:rsidRDefault="00580787" w:rsidP="00863C96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55E" w:rsidRDefault="00580787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565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Domestico: $136.89 a $342.23 </w:t>
            </w:r>
          </w:p>
          <w:p w:rsidR="00E5655E" w:rsidRPr="005C4F0C" w:rsidRDefault="00E5655E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domestico: $ 227 a $ 567.49</w:t>
            </w:r>
          </w:p>
        </w:tc>
      </w:tr>
      <w:tr w:rsidR="00580787" w:rsidRPr="005C4F0C" w:rsidTr="00FE0235">
        <w:trPr>
          <w:trHeight w:val="27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Pr="005C4F0C" w:rsidRDefault="00863C96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96" w:rsidRDefault="00863C96" w:rsidP="00863C96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41-60</w:t>
            </w:r>
          </w:p>
          <w:p w:rsidR="00580787" w:rsidRPr="005C4F0C" w:rsidRDefault="00580787" w:rsidP="00863C96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Default="00580787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E3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Domestico: $ 358.92 a $ 525.26 </w:t>
            </w:r>
          </w:p>
          <w:p w:rsidR="002E37E8" w:rsidRPr="005C4F0C" w:rsidRDefault="002E37E8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domestico: $ 676.75 a $ 990.36</w:t>
            </w:r>
          </w:p>
        </w:tc>
      </w:tr>
      <w:tr w:rsidR="00863C96" w:rsidRPr="005C4F0C" w:rsidTr="00FE0235">
        <w:trPr>
          <w:trHeight w:val="27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C96" w:rsidRPr="005C4F0C" w:rsidRDefault="00863C96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C96" w:rsidRDefault="00863C96" w:rsidP="00863C96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61-100</w:t>
            </w:r>
          </w:p>
          <w:p w:rsidR="00863C96" w:rsidRPr="005C4F0C" w:rsidRDefault="00863C96" w:rsidP="00863C96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C96" w:rsidRDefault="002E37E8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Domestico: $ 685.95 a 1124.52 </w:t>
            </w:r>
          </w:p>
          <w:p w:rsidR="002E37E8" w:rsidRPr="005C4F0C" w:rsidRDefault="002E37E8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domestico: $ 1167.49 a 1913.91</w:t>
            </w:r>
          </w:p>
        </w:tc>
      </w:tr>
      <w:tr w:rsidR="00863C96" w:rsidRPr="005C4F0C" w:rsidTr="00FE0235">
        <w:trPr>
          <w:trHeight w:val="27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5C4F0C" w:rsidRDefault="00863C96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C96" w:rsidRPr="005C4F0C" w:rsidRDefault="00863C96" w:rsidP="00863C96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 en adelante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E8" w:rsidRDefault="00863C96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E3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Domestico: $ 1124.52</w:t>
            </w:r>
          </w:p>
          <w:p w:rsidR="00863C96" w:rsidRDefault="002E37E8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Domestico: $ 1,913.91 </w:t>
            </w:r>
          </w:p>
          <w:p w:rsidR="002E37E8" w:rsidRPr="005C4F0C" w:rsidRDefault="002E37E8" w:rsidP="00863C9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63C96" w:rsidRDefault="00863C96" w:rsidP="00580787">
      <w:pPr>
        <w:jc w:val="both"/>
        <w:rPr>
          <w:rFonts w:ascii="Arial" w:hAnsi="Arial" w:cs="Arial"/>
        </w:rPr>
      </w:pPr>
    </w:p>
    <w:p w:rsidR="00863C96" w:rsidRPr="00863C96" w:rsidRDefault="00863C96" w:rsidP="00863C96">
      <w:pPr>
        <w:rPr>
          <w:rFonts w:ascii="Arial" w:hAnsi="Arial" w:cs="Arial"/>
        </w:rPr>
      </w:pPr>
    </w:p>
    <w:p w:rsidR="00863C96" w:rsidRPr="00863C96" w:rsidRDefault="00863C96" w:rsidP="00863C96">
      <w:pPr>
        <w:rPr>
          <w:rFonts w:ascii="Arial" w:hAnsi="Arial" w:cs="Arial"/>
        </w:rPr>
      </w:pPr>
    </w:p>
    <w:p w:rsidR="00863C96" w:rsidRPr="00863C96" w:rsidRDefault="00863C96" w:rsidP="00863C96">
      <w:pPr>
        <w:rPr>
          <w:rFonts w:ascii="Arial" w:hAnsi="Arial" w:cs="Arial"/>
        </w:rPr>
      </w:pPr>
    </w:p>
    <w:p w:rsidR="00863C96" w:rsidRPr="00863C96" w:rsidRDefault="00863C96" w:rsidP="00863C96">
      <w:pPr>
        <w:rPr>
          <w:rFonts w:ascii="Arial" w:hAnsi="Arial" w:cs="Arial"/>
        </w:rPr>
      </w:pPr>
    </w:p>
    <w:p w:rsidR="00863C96" w:rsidRPr="00863C96" w:rsidRDefault="00863C96" w:rsidP="00863C96">
      <w:pPr>
        <w:rPr>
          <w:rFonts w:ascii="Arial" w:hAnsi="Arial" w:cs="Arial"/>
        </w:rPr>
      </w:pPr>
    </w:p>
    <w:p w:rsidR="00863C96" w:rsidRPr="00863C96" w:rsidRDefault="00863C96" w:rsidP="00863C96">
      <w:pPr>
        <w:rPr>
          <w:rFonts w:ascii="Arial" w:hAnsi="Arial" w:cs="Arial"/>
        </w:rPr>
      </w:pPr>
    </w:p>
    <w:p w:rsidR="00863C96" w:rsidRPr="00863C96" w:rsidRDefault="00863C96" w:rsidP="00863C96">
      <w:pPr>
        <w:rPr>
          <w:rFonts w:ascii="Arial" w:hAnsi="Arial" w:cs="Arial"/>
        </w:rPr>
      </w:pPr>
    </w:p>
    <w:p w:rsidR="00580787" w:rsidRPr="00256AB7" w:rsidRDefault="00580787" w:rsidP="00863C96">
      <w:pPr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                                   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4. De existir diferencia en el cobro entre el servicio de uso doméstico y el no doméstico, indique en qué consiste.</w:t>
      </w:r>
    </w:p>
    <w:p w:rsidR="009019CC" w:rsidRDefault="009019CC" w:rsidP="00580787">
      <w:pPr>
        <w:jc w:val="both"/>
        <w:rPr>
          <w:rFonts w:ascii="Arial" w:hAnsi="Arial" w:cs="Arial"/>
        </w:rPr>
      </w:pPr>
    </w:p>
    <w:p w:rsidR="00757ED0" w:rsidRPr="009019CC" w:rsidRDefault="00757ED0" w:rsidP="00580787">
      <w:pPr>
        <w:jc w:val="both"/>
        <w:rPr>
          <w:rFonts w:ascii="Arial" w:hAnsi="Arial" w:cs="Arial"/>
          <w:b/>
        </w:rPr>
      </w:pPr>
      <w:r w:rsidRPr="009019CC">
        <w:rPr>
          <w:rFonts w:ascii="Arial" w:hAnsi="Arial" w:cs="Arial"/>
          <w:b/>
        </w:rPr>
        <w:t xml:space="preserve">R: El consumo </w:t>
      </w:r>
      <w:r w:rsidR="009019CC" w:rsidRPr="009019CC">
        <w:rPr>
          <w:rFonts w:ascii="Arial" w:hAnsi="Arial" w:cs="Arial"/>
          <w:b/>
        </w:rPr>
        <w:t>doméstico</w:t>
      </w:r>
      <w:r w:rsidRPr="009019CC">
        <w:rPr>
          <w:rFonts w:ascii="Arial" w:hAnsi="Arial" w:cs="Arial"/>
          <w:b/>
        </w:rPr>
        <w:t xml:space="preserve"> el </w:t>
      </w:r>
      <w:r w:rsidR="009019CC" w:rsidRPr="009019CC">
        <w:rPr>
          <w:rFonts w:ascii="Arial" w:hAnsi="Arial" w:cs="Arial"/>
          <w:b/>
        </w:rPr>
        <w:t>cálculo</w:t>
      </w:r>
      <w:r w:rsidRPr="009019CC">
        <w:rPr>
          <w:rFonts w:ascii="Arial" w:hAnsi="Arial" w:cs="Arial"/>
          <w:b/>
        </w:rPr>
        <w:t xml:space="preserve"> del </w:t>
      </w:r>
      <w:r w:rsidR="009019CC" w:rsidRPr="009019CC">
        <w:rPr>
          <w:rFonts w:ascii="Arial" w:hAnsi="Arial" w:cs="Arial"/>
          <w:b/>
        </w:rPr>
        <w:t>IVA</w:t>
      </w:r>
      <w:r w:rsidRPr="009019CC">
        <w:rPr>
          <w:rFonts w:ascii="Arial" w:hAnsi="Arial" w:cs="Arial"/>
          <w:b/>
        </w:rPr>
        <w:t xml:space="preserve"> es tasa 0% y el Comercial es tasa 16%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Indique si en las cuotas por s</w:t>
      </w:r>
      <w:r w:rsidRPr="00256AB7">
        <w:rPr>
          <w:rFonts w:ascii="Arial" w:hAnsi="Arial" w:cs="Arial"/>
        </w:rPr>
        <w:t>ervicio de suministro de agua se encuentran incluidos otros servicios y especifique cuáles son.</w:t>
      </w:r>
    </w:p>
    <w:p w:rsidR="009019CC" w:rsidRDefault="009019CC" w:rsidP="00580787">
      <w:pPr>
        <w:jc w:val="both"/>
        <w:rPr>
          <w:rFonts w:ascii="Arial" w:hAnsi="Arial" w:cs="Arial"/>
        </w:rPr>
      </w:pPr>
    </w:p>
    <w:p w:rsidR="009019CC" w:rsidRPr="00AF49CC" w:rsidRDefault="009019CC" w:rsidP="00580787">
      <w:pPr>
        <w:jc w:val="both"/>
        <w:rPr>
          <w:rFonts w:ascii="Arial" w:hAnsi="Arial" w:cs="Arial"/>
          <w:b/>
        </w:rPr>
      </w:pPr>
      <w:r w:rsidRPr="00AF49CC">
        <w:rPr>
          <w:rFonts w:ascii="Arial" w:hAnsi="Arial" w:cs="Arial"/>
          <w:b/>
        </w:rPr>
        <w:t xml:space="preserve">R: Los servicios que se incluyen son: Drenaje, Saneamiento, Impuesto Adicional, </w:t>
      </w:r>
      <w:r w:rsidR="003B1298" w:rsidRPr="00AF49CC">
        <w:rPr>
          <w:rFonts w:ascii="Arial" w:hAnsi="Arial" w:cs="Arial"/>
          <w:b/>
        </w:rPr>
        <w:t>Multas,</w:t>
      </w:r>
      <w:r w:rsidR="003B1298">
        <w:rPr>
          <w:rFonts w:ascii="Arial" w:hAnsi="Arial" w:cs="Arial"/>
          <w:b/>
        </w:rPr>
        <w:t xml:space="preserve"> recargos, reinstalación de toma, gastos de cobranza</w:t>
      </w:r>
      <w:r w:rsidRPr="00AF49CC">
        <w:rPr>
          <w:rFonts w:ascii="Arial" w:hAnsi="Arial" w:cs="Arial"/>
          <w:b/>
        </w:rPr>
        <w:t>.</w:t>
      </w: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  <w:u w:val="single"/>
        </w:rPr>
      </w:pPr>
      <w:r w:rsidRPr="00256AB7">
        <w:rPr>
          <w:rFonts w:ascii="Arial" w:hAnsi="Arial" w:cs="Arial"/>
        </w:rPr>
        <w:t xml:space="preserve">6. ¿El pago del suministro de agua se toma como referencia para el cobro de otros conceptos?     Sí  </w:t>
      </w:r>
      <w:r w:rsidR="00F951E9">
        <w:rPr>
          <w:rFonts w:ascii="Arial" w:hAnsi="Arial" w:cs="Arial"/>
          <w:u w:val="single"/>
        </w:rPr>
        <w:t xml:space="preserve"> x</w:t>
      </w:r>
      <w:r w:rsidRPr="00256AB7">
        <w:rPr>
          <w:rFonts w:ascii="Arial" w:hAnsi="Arial" w:cs="Arial"/>
          <w:u w:val="single"/>
        </w:rPr>
        <w:t xml:space="preserve"> </w:t>
      </w:r>
      <w:r w:rsidRPr="00256AB7">
        <w:rPr>
          <w:rFonts w:ascii="Arial" w:hAnsi="Arial" w:cs="Arial"/>
        </w:rPr>
        <w:t xml:space="preserve">   </w:t>
      </w:r>
      <w:proofErr w:type="gramStart"/>
      <w:r w:rsidRPr="00256AB7">
        <w:rPr>
          <w:rFonts w:ascii="Arial" w:hAnsi="Arial" w:cs="Arial"/>
        </w:rPr>
        <w:t>No  _</w:t>
      </w:r>
      <w:proofErr w:type="gramEnd"/>
      <w:r w:rsidRPr="00256AB7">
        <w:rPr>
          <w:rFonts w:ascii="Arial" w:hAnsi="Arial" w:cs="Arial"/>
        </w:rPr>
        <w:t>__</w:t>
      </w:r>
      <w:r w:rsidRPr="00256AB7">
        <w:rPr>
          <w:rFonts w:ascii="Arial" w:hAnsi="Arial" w:cs="Arial"/>
          <w:color w:val="FFFFFF"/>
          <w:u w:val="single"/>
        </w:rPr>
        <w:t xml:space="preserve"> x</w:t>
      </w:r>
      <w:r w:rsidRPr="00256AB7">
        <w:rPr>
          <w:rFonts w:ascii="Arial" w:hAnsi="Arial" w:cs="Arial"/>
        </w:rPr>
        <w:t xml:space="preserve"> </w:t>
      </w:r>
      <w:r w:rsidRPr="00256AB7">
        <w:rPr>
          <w:rFonts w:ascii="Arial" w:hAnsi="Arial" w:cs="Arial"/>
          <w:u w:val="single"/>
        </w:rPr>
        <w:t xml:space="preserve">  </w:t>
      </w: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Si su respuesta es Sí, señale lo siguiente:</w:t>
      </w:r>
    </w:p>
    <w:p w:rsidR="00580787" w:rsidRPr="00256AB7" w:rsidRDefault="00580787" w:rsidP="00580787">
      <w:pPr>
        <w:rPr>
          <w:rFonts w:ascii="Arial" w:hAnsi="Arial" w:cs="Arial"/>
        </w:rPr>
      </w:pPr>
    </w:p>
    <w:tbl>
      <w:tblPr>
        <w:tblW w:w="8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1251"/>
        <w:gridCol w:w="1168"/>
        <w:gridCol w:w="1410"/>
        <w:gridCol w:w="1418"/>
        <w:gridCol w:w="1431"/>
      </w:tblGrid>
      <w:tr w:rsidR="00580787" w:rsidRPr="005C4F0C" w:rsidTr="00C1541F">
        <w:trPr>
          <w:trHeight w:val="55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Observaciones</w:t>
            </w:r>
          </w:p>
        </w:tc>
      </w:tr>
      <w:tr w:rsidR="00580787" w:rsidRPr="005C4F0C" w:rsidTr="00C1541F">
        <w:trPr>
          <w:trHeight w:val="234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B1298" w:rsidRPr="005C4F0C" w:rsidTr="00C1541F">
        <w:trPr>
          <w:trHeight w:val="234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98" w:rsidRPr="005C4F0C" w:rsidRDefault="003B1298" w:rsidP="003B129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98" w:rsidRPr="005C4F0C" w:rsidRDefault="003B1298" w:rsidP="003B129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Drenaje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98" w:rsidRPr="005C4F0C" w:rsidRDefault="003B1298" w:rsidP="003B129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25% sobre el consumo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298" w:rsidRPr="005C4F0C" w:rsidRDefault="003B1298" w:rsidP="003B129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25% sobre el consumo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98" w:rsidRPr="005C4F0C" w:rsidRDefault="003B1298" w:rsidP="003B129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3B1298" w:rsidRPr="003B1298" w:rsidRDefault="003B1298" w:rsidP="003B129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12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$ 4,268,225.22</w:t>
            </w:r>
            <w:r w:rsidRPr="003B12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3B1298" w:rsidRPr="005C4F0C" w:rsidRDefault="003B1298" w:rsidP="003B129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98" w:rsidRPr="005C4F0C" w:rsidRDefault="003B1298" w:rsidP="003B129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81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tasa de cálculo es la misma en porcentaje pero el monto sufrió cambio por el aumento a la tarifa.</w:t>
            </w:r>
          </w:p>
        </w:tc>
      </w:tr>
      <w:tr w:rsidR="001818B6" w:rsidRPr="005C4F0C" w:rsidTr="00C1541F">
        <w:trPr>
          <w:trHeight w:val="234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Saneamiento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25% sobre el consumo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25% sobre el consumo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1818B6" w:rsidRPr="002E74F7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7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$ 3,942,797.30</w:t>
            </w:r>
            <w:r w:rsidRPr="002E7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tasa de cálculo es la misma en porcentaje pero el monto sufrió cambio por el aumento a la tarifa.</w:t>
            </w:r>
          </w:p>
        </w:tc>
      </w:tr>
      <w:tr w:rsidR="001818B6" w:rsidRPr="005C4F0C" w:rsidTr="00C1541F">
        <w:trPr>
          <w:trHeight w:val="234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Impuesto Adicional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5% sobre el consumo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15% sobre el consumo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B6" w:rsidRPr="00C1541F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54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$ 2,652,468.34</w:t>
            </w:r>
            <w:r w:rsidRPr="00C154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B6" w:rsidRPr="005C4F0C" w:rsidRDefault="001818B6" w:rsidP="001818B6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tasa de cálculo es la misma en porcentaje pero el monto sufrió cambio por el aumento a la tarifa.</w:t>
            </w:r>
          </w:p>
        </w:tc>
      </w:tr>
    </w:tbl>
    <w:p w:rsidR="00580787" w:rsidRDefault="00580787" w:rsidP="00580787">
      <w:pPr>
        <w:jc w:val="both"/>
        <w:rPr>
          <w:rFonts w:ascii="Arial" w:hAnsi="Arial" w:cs="Arial"/>
        </w:rPr>
      </w:pPr>
      <w:bookmarkStart w:id="1" w:name="_MON_1422439971"/>
      <w:bookmarkEnd w:id="1"/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7. Enuncie los organismos que operan en el Estado y que proporcionan el servicio, su forma de organización jurídica, las obligaciones y derechos con respecto a la concesión otorgada e indique los municipios en que opera cada uno de ellos y la recaudación por organismo.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B55311" w:rsidRPr="00E97221" w:rsidRDefault="00E97221" w:rsidP="00580787">
      <w:pPr>
        <w:jc w:val="both"/>
        <w:rPr>
          <w:rFonts w:ascii="Arial" w:hAnsi="Arial" w:cs="Arial"/>
          <w:b/>
        </w:rPr>
      </w:pPr>
      <w:r w:rsidRPr="00E97221">
        <w:rPr>
          <w:rFonts w:ascii="Arial" w:hAnsi="Arial" w:cs="Arial"/>
          <w:b/>
        </w:rPr>
        <w:t>R: No aplica para este Organismo Operador.</w:t>
      </w: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tbl>
      <w:tblPr>
        <w:tblW w:w="6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91"/>
        <w:gridCol w:w="1596"/>
        <w:gridCol w:w="1271"/>
        <w:gridCol w:w="1731"/>
      </w:tblGrid>
      <w:tr w:rsidR="00580787" w:rsidRPr="005C4F0C" w:rsidTr="00C65C1B">
        <w:trPr>
          <w:trHeight w:val="4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2" w:name="_MON_1422440011"/>
            <w:bookmarkEnd w:id="2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Organismo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Forma de Organización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Obligaciones y Derechos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580787" w:rsidRPr="005C4F0C" w:rsidTr="00E9722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8. Si las tasas o tarifas y el costo del metro cúbico vigente en su ordenamiento jurídico, han sufrido algún cambio respecto del año anterior; señálelos en el cuadro siguiente y anexe copia de la publicación oficial.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051AC9" w:rsidRDefault="00051AC9" w:rsidP="00580787">
      <w:pPr>
        <w:jc w:val="both"/>
        <w:rPr>
          <w:rFonts w:ascii="Arial" w:hAnsi="Arial" w:cs="Arial"/>
        </w:rPr>
      </w:pPr>
    </w:p>
    <w:p w:rsidR="00051AC9" w:rsidRDefault="00051AC9" w:rsidP="00580787">
      <w:pPr>
        <w:jc w:val="both"/>
        <w:rPr>
          <w:rFonts w:ascii="Arial" w:hAnsi="Arial" w:cs="Arial"/>
        </w:rPr>
      </w:pPr>
    </w:p>
    <w:p w:rsidR="00051AC9" w:rsidRDefault="00051AC9" w:rsidP="00580787">
      <w:pPr>
        <w:jc w:val="both"/>
        <w:rPr>
          <w:rFonts w:ascii="Arial" w:hAnsi="Arial" w:cs="Arial"/>
        </w:rPr>
      </w:pPr>
    </w:p>
    <w:p w:rsidR="00051AC9" w:rsidRPr="00256AB7" w:rsidRDefault="00051AC9" w:rsidP="00580787">
      <w:pPr>
        <w:jc w:val="both"/>
        <w:rPr>
          <w:rFonts w:ascii="Arial" w:hAnsi="Arial" w:cs="Arial"/>
        </w:rPr>
      </w:pPr>
    </w:p>
    <w:tbl>
      <w:tblPr>
        <w:tblW w:w="88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41"/>
        <w:gridCol w:w="1241"/>
        <w:gridCol w:w="911"/>
        <w:gridCol w:w="831"/>
        <w:gridCol w:w="801"/>
        <w:gridCol w:w="811"/>
        <w:gridCol w:w="928"/>
        <w:gridCol w:w="1073"/>
      </w:tblGrid>
      <w:tr w:rsidR="00580787" w:rsidRPr="005C4F0C" w:rsidTr="009C499B">
        <w:trPr>
          <w:trHeight w:val="262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3" w:name="_MON_1422440100"/>
            <w:bookmarkEnd w:id="3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Costo metro cúbico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</w:t>
            </w:r>
          </w:p>
        </w:tc>
      </w:tr>
      <w:tr w:rsidR="00580787" w:rsidRPr="005C4F0C" w:rsidTr="009C499B">
        <w:trPr>
          <w:trHeight w:val="419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informa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Absoluta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Relativa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informa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Absoluta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Relativa</w:t>
            </w:r>
          </w:p>
        </w:tc>
      </w:tr>
      <w:tr w:rsidR="009C499B" w:rsidRPr="005C4F0C" w:rsidTr="009C499B">
        <w:trPr>
          <w:trHeight w:val="26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Default="009C499B" w:rsidP="009C499B">
            <w:pPr>
              <w:ind w:righ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Domestico: tasa 0%</w:t>
            </w:r>
          </w:p>
          <w:p w:rsidR="009C499B" w:rsidRPr="005C4F0C" w:rsidRDefault="009C499B" w:rsidP="009C499B">
            <w:pPr>
              <w:ind w:righ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domestico: tasa 16%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Default="009C499B" w:rsidP="009C499B">
            <w:pPr>
              <w:ind w:righ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Domestico: tasa 0%</w:t>
            </w:r>
          </w:p>
          <w:p w:rsidR="009C499B" w:rsidRPr="005C4F0C" w:rsidRDefault="009C499B" w:rsidP="009C499B">
            <w:pPr>
              <w:ind w:righ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domestico: tasa 16%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$6.25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9B" w:rsidRPr="005C4F0C" w:rsidRDefault="009C499B" w:rsidP="009C499B">
            <w:pPr>
              <w:ind w:righ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$4.18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99B" w:rsidRPr="005C4F0C" w:rsidRDefault="009C499B" w:rsidP="009C499B">
            <w:pPr>
              <w:ind w:righ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9B" w:rsidRPr="005C4F0C" w:rsidRDefault="009C499B" w:rsidP="009C499B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$2.07</w:t>
            </w:r>
          </w:p>
        </w:tc>
      </w:tr>
      <w:tr w:rsidR="009C499B" w:rsidRPr="005C4F0C" w:rsidTr="009C499B">
        <w:trPr>
          <w:trHeight w:val="26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9B" w:rsidRPr="005C4F0C" w:rsidRDefault="009C499B" w:rsidP="009C499B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9B" w:rsidRPr="005C4F0C" w:rsidRDefault="009C499B" w:rsidP="009C499B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C499B" w:rsidRPr="005C4F0C" w:rsidTr="009C499B">
        <w:trPr>
          <w:trHeight w:val="26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9B" w:rsidRPr="005C4F0C" w:rsidRDefault="009C499B" w:rsidP="009C499B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9B" w:rsidRPr="005C4F0C" w:rsidRDefault="009C499B" w:rsidP="009C499B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9B" w:rsidRPr="005C4F0C" w:rsidRDefault="009C499B" w:rsidP="009C499B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9. Señale el monto y porcentaje que aporta cada uno de los tipos de usos de la toma de </w:t>
      </w:r>
      <w:r>
        <w:rPr>
          <w:rFonts w:ascii="Arial" w:hAnsi="Arial" w:cs="Arial"/>
        </w:rPr>
        <w:t>a</w:t>
      </w:r>
      <w:r w:rsidRPr="00256AB7">
        <w:rPr>
          <w:rFonts w:ascii="Arial" w:hAnsi="Arial" w:cs="Arial"/>
        </w:rPr>
        <w:t>gua en el total de la r</w:t>
      </w:r>
      <w:r>
        <w:rPr>
          <w:rFonts w:ascii="Arial" w:hAnsi="Arial" w:cs="Arial"/>
        </w:rPr>
        <w:t>ecaudación por E</w:t>
      </w:r>
      <w:r w:rsidRPr="00256AB7">
        <w:rPr>
          <w:rFonts w:ascii="Arial" w:hAnsi="Arial" w:cs="Arial"/>
        </w:rPr>
        <w:t>ntidad y su comparación con el año anterior al que se informa.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tbl>
      <w:tblPr>
        <w:tblW w:w="973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68"/>
        <w:gridCol w:w="1130"/>
        <w:gridCol w:w="1112"/>
        <w:gridCol w:w="1442"/>
        <w:gridCol w:w="956"/>
        <w:gridCol w:w="1442"/>
        <w:gridCol w:w="921"/>
      </w:tblGrid>
      <w:tr w:rsidR="00580787" w:rsidRPr="005C4F0C" w:rsidTr="000A1F25">
        <w:trPr>
          <w:trHeight w:val="30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Ref.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Uso de la Base con medidor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Usuarios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 recaudado</w:t>
            </w:r>
          </w:p>
        </w:tc>
      </w:tr>
      <w:tr w:rsidR="00580787" w:rsidRPr="005C4F0C" w:rsidTr="000A1F25">
        <w:trPr>
          <w:trHeight w:val="72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total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</w:t>
            </w: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otal</w:t>
            </w:r>
          </w:p>
        </w:tc>
      </w:tr>
      <w:tr w:rsidR="00580787" w:rsidRPr="005C4F0C" w:rsidTr="000A1F2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Uso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9B72DC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9B72DC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469215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B7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$29,382,329.57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B7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B7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$24,482,365.85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B7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59%</w:t>
            </w:r>
          </w:p>
        </w:tc>
      </w:tr>
      <w:tr w:rsidR="00580787" w:rsidRPr="005C4F0C" w:rsidTr="000A1F2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Uso no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AD0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84820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37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80586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AD0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$15,977,487.22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AD0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37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$17,061,050.59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37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41%</w:t>
            </w:r>
          </w:p>
        </w:tc>
      </w:tr>
      <w:tr w:rsidR="00580787" w:rsidRPr="005C4F0C" w:rsidTr="000A1F2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Otro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0A1F2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F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573860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F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F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$45,359,816.79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F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F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$41,545,416.44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F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</w:tr>
      <w:tr w:rsidR="001D247E" w:rsidRPr="005C4F0C" w:rsidTr="000A1F2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7E" w:rsidRPr="005C4F0C" w:rsidRDefault="001D247E" w:rsidP="004740DC">
            <w:pPr>
              <w:ind w:righ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7E" w:rsidRPr="005C4F0C" w:rsidRDefault="001D247E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7E" w:rsidRPr="005C4F0C" w:rsidRDefault="001D247E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7E" w:rsidRPr="005C4F0C" w:rsidRDefault="001D247E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7E" w:rsidRPr="005C4F0C" w:rsidRDefault="001D247E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7E" w:rsidRPr="005C4F0C" w:rsidRDefault="001D247E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7E" w:rsidRPr="005C4F0C" w:rsidRDefault="001D247E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7E" w:rsidRPr="005C4F0C" w:rsidRDefault="001D247E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80787" w:rsidRDefault="000A1F25" w:rsidP="000A1F25">
      <w:p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lastRenderedPageBreak/>
        <w:t>10. Si se realizaron algunas de las siguientes acciones administrativas para aumentar o disminuir el potencial recaudatorio en el cobro de los derechos por suministro de agua, describa cómo se realizaron y anexe documentos que amparen dichas acciones: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Detección de tomas clandestinas</w:t>
      </w:r>
    </w:p>
    <w:p w:rsidR="00A311DE" w:rsidRPr="00A311DE" w:rsidRDefault="00A311DE" w:rsidP="00A311DE">
      <w:pPr>
        <w:jc w:val="both"/>
        <w:rPr>
          <w:rFonts w:ascii="Arial" w:hAnsi="Arial" w:cs="Arial"/>
          <w:b/>
        </w:rPr>
      </w:pPr>
    </w:p>
    <w:p w:rsidR="00A311DE" w:rsidRPr="00A311DE" w:rsidRDefault="00A311DE" w:rsidP="00A311DE">
      <w:pPr>
        <w:jc w:val="both"/>
        <w:rPr>
          <w:rFonts w:ascii="Arial" w:hAnsi="Arial" w:cs="Arial"/>
          <w:b/>
        </w:rPr>
      </w:pPr>
      <w:r w:rsidRPr="00A311DE">
        <w:rPr>
          <w:rFonts w:ascii="Arial" w:hAnsi="Arial" w:cs="Arial"/>
          <w:b/>
        </w:rPr>
        <w:t>R: Se realizaron Censos en diferentes Colonias para detección de tomas clandestinas y se entregó notificación en los predios, así como la suspensión del servicio.</w:t>
      </w:r>
    </w:p>
    <w:p w:rsidR="00A311DE" w:rsidRPr="00256AB7" w:rsidRDefault="00A311DE" w:rsidP="00A311DE">
      <w:pPr>
        <w:jc w:val="both"/>
        <w:rPr>
          <w:rFonts w:ascii="Arial" w:hAnsi="Arial" w:cs="Arial"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Análisis de consumos</w:t>
      </w:r>
    </w:p>
    <w:p w:rsidR="00A311DE" w:rsidRDefault="00A311DE" w:rsidP="00A311DE">
      <w:pPr>
        <w:jc w:val="both"/>
        <w:rPr>
          <w:rFonts w:ascii="Arial" w:hAnsi="Arial" w:cs="Arial"/>
        </w:rPr>
      </w:pPr>
    </w:p>
    <w:p w:rsidR="00A311DE" w:rsidRPr="00A311DE" w:rsidRDefault="00A311DE" w:rsidP="00A311DE">
      <w:pPr>
        <w:jc w:val="both"/>
        <w:rPr>
          <w:rFonts w:ascii="Arial" w:hAnsi="Arial" w:cs="Arial"/>
          <w:b/>
        </w:rPr>
      </w:pPr>
      <w:r w:rsidRPr="00A311DE">
        <w:rPr>
          <w:rFonts w:ascii="Arial" w:hAnsi="Arial" w:cs="Arial"/>
          <w:b/>
        </w:rPr>
        <w:t xml:space="preserve">R: Se revisa mes a mes </w:t>
      </w:r>
      <w:r>
        <w:rPr>
          <w:rFonts w:ascii="Arial" w:hAnsi="Arial" w:cs="Arial"/>
          <w:b/>
        </w:rPr>
        <w:t xml:space="preserve">en el sistema comercial </w:t>
      </w:r>
      <w:r w:rsidRPr="00A311DE">
        <w:rPr>
          <w:rFonts w:ascii="Arial" w:hAnsi="Arial" w:cs="Arial"/>
          <w:b/>
        </w:rPr>
        <w:t>para corregir incongruencias de lecturas y detectar medidores parados que podrían ser posibles derivaciones o fallos en el medidor.</w:t>
      </w:r>
    </w:p>
    <w:p w:rsidR="00A311DE" w:rsidRPr="00256AB7" w:rsidRDefault="00A311DE" w:rsidP="00A311DE">
      <w:pPr>
        <w:jc w:val="both"/>
        <w:rPr>
          <w:rFonts w:ascii="Arial" w:hAnsi="Arial" w:cs="Arial"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Inspecciones domiciliarias para detección de irregularidades</w:t>
      </w:r>
    </w:p>
    <w:p w:rsidR="00A311DE" w:rsidRDefault="00A311DE" w:rsidP="00A311DE">
      <w:pPr>
        <w:ind w:left="720"/>
        <w:jc w:val="both"/>
        <w:rPr>
          <w:rFonts w:ascii="Arial" w:hAnsi="Arial" w:cs="Arial"/>
        </w:rPr>
      </w:pPr>
    </w:p>
    <w:p w:rsidR="00A311DE" w:rsidRPr="00A311DE" w:rsidRDefault="00A311DE" w:rsidP="00A311DE">
      <w:pPr>
        <w:jc w:val="both"/>
        <w:rPr>
          <w:rFonts w:ascii="Arial" w:hAnsi="Arial" w:cs="Arial"/>
          <w:b/>
        </w:rPr>
      </w:pPr>
      <w:r w:rsidRPr="00A311DE">
        <w:rPr>
          <w:rFonts w:ascii="Arial" w:hAnsi="Arial" w:cs="Arial"/>
          <w:b/>
        </w:rPr>
        <w:t xml:space="preserve">R: Se generan diariamente por revisiones en el padrón de usuarios </w:t>
      </w:r>
      <w:r w:rsidR="009D611F">
        <w:rPr>
          <w:rFonts w:ascii="Arial" w:hAnsi="Arial" w:cs="Arial"/>
          <w:b/>
        </w:rPr>
        <w:t xml:space="preserve">dicha actividad es realizada por </w:t>
      </w:r>
      <w:r w:rsidRPr="00A311DE">
        <w:rPr>
          <w:rFonts w:ascii="Arial" w:hAnsi="Arial" w:cs="Arial"/>
          <w:b/>
        </w:rPr>
        <w:t xml:space="preserve"> el área de Atención al Público,</w:t>
      </w:r>
      <w:r w:rsidR="009D611F">
        <w:rPr>
          <w:rFonts w:ascii="Arial" w:hAnsi="Arial" w:cs="Arial"/>
          <w:b/>
        </w:rPr>
        <w:t xml:space="preserve"> dichas inspecciones se realizan al término de la entrega de Recibos en los domicilios, </w:t>
      </w:r>
      <w:r w:rsidRPr="00A311DE">
        <w:rPr>
          <w:rFonts w:ascii="Arial" w:hAnsi="Arial" w:cs="Arial"/>
          <w:b/>
        </w:rPr>
        <w:t xml:space="preserve"> las inspecciones comerciales nos ayudan a realizar cambios en el padrón de tipo de servicios, así como corregir las cuotas asignadas, se detectan posibles fugas en el inmueble o irregularidades que nos permite brindar un apoyo al usuario para que pague dentro de lo que corresponde.</w:t>
      </w:r>
    </w:p>
    <w:p w:rsidR="00A311DE" w:rsidRDefault="00A311DE" w:rsidP="00A311DE">
      <w:pPr>
        <w:jc w:val="both"/>
        <w:rPr>
          <w:rFonts w:ascii="Arial" w:hAnsi="Arial" w:cs="Arial"/>
        </w:rPr>
      </w:pPr>
    </w:p>
    <w:p w:rsidR="00A311DE" w:rsidRPr="00256AB7" w:rsidRDefault="00A311DE" w:rsidP="00A311DE">
      <w:pPr>
        <w:jc w:val="both"/>
        <w:rPr>
          <w:rFonts w:ascii="Arial" w:hAnsi="Arial" w:cs="Arial"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Programas de descuentos</w:t>
      </w:r>
    </w:p>
    <w:p w:rsidR="00355AED" w:rsidRDefault="00355AED" w:rsidP="00355AED">
      <w:pPr>
        <w:jc w:val="both"/>
        <w:rPr>
          <w:rFonts w:ascii="Arial" w:hAnsi="Arial" w:cs="Arial"/>
        </w:rPr>
      </w:pPr>
    </w:p>
    <w:p w:rsidR="00355AED" w:rsidRPr="00101A7E" w:rsidRDefault="009F706B" w:rsidP="00355AED">
      <w:pPr>
        <w:jc w:val="both"/>
        <w:rPr>
          <w:rFonts w:ascii="Arial" w:hAnsi="Arial" w:cs="Arial"/>
          <w:b/>
        </w:rPr>
      </w:pPr>
      <w:r w:rsidRPr="00101A7E">
        <w:rPr>
          <w:rFonts w:ascii="Arial" w:hAnsi="Arial" w:cs="Arial"/>
          <w:b/>
        </w:rPr>
        <w:t>R:</w:t>
      </w:r>
      <w:r>
        <w:rPr>
          <w:rFonts w:ascii="Arial" w:hAnsi="Arial" w:cs="Arial"/>
          <w:b/>
        </w:rPr>
        <w:t xml:space="preserve"> Se aprobó por órgano de gobierno el descuento del 100% en Multas y Recargos durante todo el </w:t>
      </w:r>
      <w:bookmarkStart w:id="4" w:name="_GoBack"/>
      <w:bookmarkEnd w:id="4"/>
      <w:r>
        <w:rPr>
          <w:rFonts w:ascii="Arial" w:hAnsi="Arial" w:cs="Arial"/>
          <w:b/>
        </w:rPr>
        <w:t>año,</w:t>
      </w:r>
      <w:r w:rsidR="00101A7E" w:rsidRPr="00101A7E">
        <w:rPr>
          <w:rFonts w:ascii="Arial" w:hAnsi="Arial" w:cs="Arial"/>
          <w:b/>
        </w:rPr>
        <w:t xml:space="preserve"> dichos descuentos están publicados en gaceta oficial y en actas de órgano de gobierno anexas a este cuestionario.</w:t>
      </w:r>
    </w:p>
    <w:p w:rsidR="00101A7E" w:rsidRPr="00256AB7" w:rsidRDefault="00101A7E" w:rsidP="00355AED">
      <w:pPr>
        <w:jc w:val="both"/>
        <w:rPr>
          <w:rFonts w:ascii="Arial" w:hAnsi="Arial" w:cs="Arial"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Descuentos por pago anual </w:t>
      </w:r>
    </w:p>
    <w:p w:rsidR="00101A7E" w:rsidRDefault="00101A7E" w:rsidP="00101A7E">
      <w:pPr>
        <w:jc w:val="both"/>
        <w:rPr>
          <w:rFonts w:ascii="Arial" w:hAnsi="Arial" w:cs="Arial"/>
          <w:b/>
        </w:rPr>
      </w:pPr>
      <w:r w:rsidRPr="00101A7E">
        <w:rPr>
          <w:rFonts w:ascii="Arial" w:hAnsi="Arial" w:cs="Arial"/>
          <w:b/>
        </w:rPr>
        <w:t>R: En ambos años se aplicó el pago anticipado con el 50% de descuento a pensionados/jubilados 30% para pago mensual en caso de no realizar anticipado y 10 % de descuento al público en general para los meses de diciembre, Enero y Febrero de ambos años, dichos descuentos están publicados en gaceta oficial y en actas de órgano de gobierno anexas a este cuestionario</w:t>
      </w:r>
    </w:p>
    <w:p w:rsidR="00101A7E" w:rsidRPr="00256AB7" w:rsidRDefault="00101A7E" w:rsidP="00101A7E">
      <w:pPr>
        <w:jc w:val="both"/>
        <w:rPr>
          <w:rFonts w:ascii="Arial" w:hAnsi="Arial" w:cs="Arial"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Campañas publicitarias</w:t>
      </w:r>
    </w:p>
    <w:p w:rsidR="00101A7E" w:rsidRDefault="00101A7E" w:rsidP="00101A7E">
      <w:pPr>
        <w:jc w:val="both"/>
        <w:rPr>
          <w:rFonts w:ascii="Arial" w:hAnsi="Arial" w:cs="Arial"/>
          <w:b/>
        </w:rPr>
      </w:pPr>
      <w:r w:rsidRPr="00722DA1">
        <w:rPr>
          <w:rFonts w:ascii="Arial" w:hAnsi="Arial" w:cs="Arial"/>
          <w:b/>
        </w:rPr>
        <w:t>R: Solo en la página del organismo Operador en Facebook</w:t>
      </w:r>
      <w:r w:rsidR="00722DA1" w:rsidRPr="00722DA1">
        <w:rPr>
          <w:b/>
        </w:rPr>
        <w:t xml:space="preserve"> </w:t>
      </w:r>
      <w:hyperlink r:id="rId7" w:history="1">
        <w:r w:rsidR="00722DA1" w:rsidRPr="00722DA1">
          <w:rPr>
            <w:rStyle w:val="Hipervnculo"/>
            <w:rFonts w:ascii="Arial" w:hAnsi="Arial" w:cs="Arial"/>
            <w:b/>
          </w:rPr>
          <w:t>https://www.facebook.com/OROAPATB?mibextid=ZbWKwL</w:t>
        </w:r>
      </w:hyperlink>
      <w:r w:rsidR="00722DA1" w:rsidRPr="00722DA1">
        <w:rPr>
          <w:rFonts w:ascii="Arial" w:hAnsi="Arial" w:cs="Arial"/>
          <w:b/>
        </w:rPr>
        <w:t xml:space="preserve">, </w:t>
      </w:r>
      <w:r w:rsidRPr="00722DA1">
        <w:rPr>
          <w:rFonts w:ascii="Arial" w:hAnsi="Arial" w:cs="Arial"/>
          <w:b/>
        </w:rPr>
        <w:t xml:space="preserve"> donde se Informa a la población de diversos temas que competen al organismo.</w:t>
      </w:r>
    </w:p>
    <w:p w:rsidR="00722DA1" w:rsidRPr="00722DA1" w:rsidRDefault="00722DA1" w:rsidP="00101A7E">
      <w:pPr>
        <w:jc w:val="both"/>
        <w:rPr>
          <w:rFonts w:ascii="Arial" w:hAnsi="Arial" w:cs="Arial"/>
          <w:b/>
        </w:rPr>
      </w:pPr>
    </w:p>
    <w:p w:rsidR="00722DA1" w:rsidRPr="00256AB7" w:rsidRDefault="00722DA1" w:rsidP="00101A7E">
      <w:pPr>
        <w:jc w:val="both"/>
        <w:rPr>
          <w:rFonts w:ascii="Arial" w:hAnsi="Arial" w:cs="Arial"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Depuración en el padrón de usuarios</w:t>
      </w:r>
    </w:p>
    <w:p w:rsidR="00722DA1" w:rsidRDefault="00722DA1" w:rsidP="00722DA1">
      <w:pPr>
        <w:ind w:left="720"/>
        <w:jc w:val="both"/>
        <w:rPr>
          <w:rFonts w:ascii="Arial" w:hAnsi="Arial" w:cs="Arial"/>
        </w:rPr>
      </w:pPr>
    </w:p>
    <w:p w:rsidR="00722DA1" w:rsidRDefault="00722DA1" w:rsidP="00722DA1">
      <w:pPr>
        <w:jc w:val="both"/>
        <w:rPr>
          <w:rFonts w:ascii="Arial" w:hAnsi="Arial" w:cs="Arial"/>
          <w:b/>
        </w:rPr>
      </w:pPr>
      <w:r w:rsidRPr="00722DA1">
        <w:rPr>
          <w:rFonts w:ascii="Arial" w:hAnsi="Arial" w:cs="Arial"/>
          <w:b/>
        </w:rPr>
        <w:t>R: No se ha realizado</w:t>
      </w:r>
    </w:p>
    <w:p w:rsidR="00722DA1" w:rsidRPr="00722DA1" w:rsidRDefault="00722DA1" w:rsidP="00722DA1">
      <w:pPr>
        <w:jc w:val="both"/>
        <w:rPr>
          <w:rFonts w:ascii="Arial" w:hAnsi="Arial" w:cs="Arial"/>
          <w:b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lastRenderedPageBreak/>
        <w:t>Cobro coactivo</w:t>
      </w:r>
    </w:p>
    <w:p w:rsidR="00722DA1" w:rsidRDefault="00722DA1" w:rsidP="00722DA1">
      <w:pPr>
        <w:ind w:left="720"/>
        <w:jc w:val="both"/>
        <w:rPr>
          <w:rFonts w:ascii="Arial" w:hAnsi="Arial" w:cs="Arial"/>
        </w:rPr>
      </w:pPr>
    </w:p>
    <w:p w:rsidR="00722DA1" w:rsidRPr="00722DA1" w:rsidRDefault="00722DA1" w:rsidP="00722DA1">
      <w:pPr>
        <w:jc w:val="both"/>
        <w:rPr>
          <w:rFonts w:ascii="Arial" w:hAnsi="Arial" w:cs="Arial"/>
          <w:b/>
        </w:rPr>
      </w:pPr>
      <w:r w:rsidRPr="00722DA1">
        <w:rPr>
          <w:rFonts w:ascii="Arial" w:hAnsi="Arial" w:cs="Arial"/>
          <w:b/>
        </w:rPr>
        <w:t xml:space="preserve">R: Para realizar el cobro coactivo </w:t>
      </w:r>
      <w:r w:rsidR="00A078E6">
        <w:rPr>
          <w:rFonts w:ascii="Arial" w:hAnsi="Arial" w:cs="Arial"/>
          <w:b/>
        </w:rPr>
        <w:t xml:space="preserve">el área de cobranza realiza diversas actividades entre ellas: </w:t>
      </w:r>
    </w:p>
    <w:p w:rsidR="00722DA1" w:rsidRPr="00722DA1" w:rsidRDefault="00722DA1" w:rsidP="00722DA1">
      <w:pPr>
        <w:pStyle w:val="Prrafodelista"/>
        <w:rPr>
          <w:rFonts w:ascii="Arial" w:hAnsi="Arial" w:cs="Arial"/>
        </w:rPr>
      </w:pPr>
    </w:p>
    <w:p w:rsidR="00722DA1" w:rsidRDefault="00722DA1" w:rsidP="00722DA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de Cobranza genera listas de usuarios con adeudo los cuales visitan para notificar sus adeudos y reciben </w:t>
      </w:r>
      <w:r w:rsidR="00A078E6">
        <w:rPr>
          <w:rFonts w:ascii="Arial" w:hAnsi="Arial" w:cs="Arial"/>
        </w:rPr>
        <w:t>abonos o liquidaciones de adeudo en sitio.</w:t>
      </w:r>
    </w:p>
    <w:p w:rsidR="00A078E6" w:rsidRDefault="00A078E6" w:rsidP="00A078E6">
      <w:pPr>
        <w:pStyle w:val="Prrafodelista"/>
        <w:jc w:val="both"/>
        <w:rPr>
          <w:rFonts w:ascii="Arial" w:hAnsi="Arial" w:cs="Arial"/>
        </w:rPr>
      </w:pPr>
    </w:p>
    <w:p w:rsidR="00A078E6" w:rsidRDefault="00A078E6" w:rsidP="00722DA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 la suspensión del servicio después del vencimiento de la motivación realizada.</w:t>
      </w:r>
    </w:p>
    <w:p w:rsidR="00A078E6" w:rsidRDefault="00A078E6" w:rsidP="00A078E6">
      <w:pPr>
        <w:pStyle w:val="Prrafodelista"/>
        <w:jc w:val="both"/>
        <w:rPr>
          <w:rFonts w:ascii="Arial" w:hAnsi="Arial" w:cs="Arial"/>
        </w:rPr>
      </w:pPr>
    </w:p>
    <w:p w:rsidR="00A078E6" w:rsidRDefault="00A078E6" w:rsidP="00A078E6">
      <w:pPr>
        <w:pStyle w:val="Prrafodelista"/>
        <w:jc w:val="both"/>
        <w:rPr>
          <w:rFonts w:ascii="Arial" w:hAnsi="Arial" w:cs="Arial"/>
        </w:rPr>
      </w:pPr>
    </w:p>
    <w:p w:rsidR="00A078E6" w:rsidRPr="00722DA1" w:rsidRDefault="00A078E6" w:rsidP="00A078E6">
      <w:pPr>
        <w:pStyle w:val="Prrafodelista"/>
        <w:jc w:val="both"/>
        <w:rPr>
          <w:rFonts w:ascii="Arial" w:hAnsi="Arial" w:cs="Arial"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Estímulos al pago por medio de sorteos</w:t>
      </w:r>
    </w:p>
    <w:p w:rsidR="00A078E6" w:rsidRDefault="00A078E6" w:rsidP="00A078E6">
      <w:pPr>
        <w:ind w:left="720"/>
        <w:jc w:val="both"/>
        <w:rPr>
          <w:rFonts w:ascii="Arial" w:hAnsi="Arial" w:cs="Arial"/>
        </w:rPr>
      </w:pPr>
    </w:p>
    <w:p w:rsidR="00A078E6" w:rsidRPr="00A078E6" w:rsidRDefault="00A078E6" w:rsidP="00A078E6">
      <w:pPr>
        <w:ind w:left="720"/>
        <w:jc w:val="both"/>
        <w:rPr>
          <w:rFonts w:ascii="Arial" w:hAnsi="Arial" w:cs="Arial"/>
          <w:b/>
        </w:rPr>
      </w:pPr>
      <w:r w:rsidRPr="00A078E6">
        <w:rPr>
          <w:rFonts w:ascii="Arial" w:hAnsi="Arial" w:cs="Arial"/>
          <w:b/>
        </w:rPr>
        <w:t>R: No se realiza</w:t>
      </w:r>
    </w:p>
    <w:p w:rsidR="00A078E6" w:rsidRPr="00256AB7" w:rsidRDefault="00A078E6" w:rsidP="00A078E6">
      <w:pPr>
        <w:ind w:left="720"/>
        <w:jc w:val="both"/>
        <w:rPr>
          <w:rFonts w:ascii="Arial" w:hAnsi="Arial" w:cs="Arial"/>
        </w:rPr>
      </w:pP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Facilidades de pago por medio de la celebración de convenios</w:t>
      </w:r>
    </w:p>
    <w:p w:rsidR="00A078E6" w:rsidRDefault="00A078E6" w:rsidP="00A078E6">
      <w:pPr>
        <w:jc w:val="both"/>
        <w:rPr>
          <w:rFonts w:ascii="Arial" w:hAnsi="Arial" w:cs="Arial"/>
        </w:rPr>
      </w:pPr>
    </w:p>
    <w:p w:rsidR="00A078E6" w:rsidRDefault="00A078E6" w:rsidP="00A078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R: Para el 2024 se realizaron </w:t>
      </w:r>
      <w:r w:rsidRPr="00464D9E">
        <w:rPr>
          <w:rFonts w:ascii="Arial" w:hAnsi="Arial" w:cs="Arial"/>
          <w:b/>
        </w:rPr>
        <w:t>711</w:t>
      </w:r>
      <w:r>
        <w:rPr>
          <w:rFonts w:ascii="Arial" w:hAnsi="Arial" w:cs="Arial"/>
        </w:rPr>
        <w:t xml:space="preserve"> convenios que </w:t>
      </w:r>
      <w:r w:rsidR="00464D9E">
        <w:rPr>
          <w:rFonts w:ascii="Arial" w:hAnsi="Arial" w:cs="Arial"/>
        </w:rPr>
        <w:t xml:space="preserve">representaron </w:t>
      </w:r>
      <w:r w:rsidR="00464D9E" w:rsidRPr="00464D9E">
        <w:rPr>
          <w:rFonts w:ascii="Arial" w:hAnsi="Arial" w:cs="Arial"/>
          <w:b/>
        </w:rPr>
        <w:t>$10,882,213.47</w:t>
      </w:r>
    </w:p>
    <w:p w:rsidR="00722DA1" w:rsidRPr="00256AB7" w:rsidRDefault="00722DA1" w:rsidP="00722DA1">
      <w:pPr>
        <w:ind w:left="720"/>
        <w:jc w:val="both"/>
        <w:rPr>
          <w:rFonts w:ascii="Arial" w:hAnsi="Arial" w:cs="Arial"/>
        </w:rPr>
      </w:pPr>
    </w:p>
    <w:p w:rsidR="00580787" w:rsidRDefault="00580787" w:rsidP="0058078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Ampliación en cobertura de pago (bancos, internet, módulos, etc.)</w:t>
      </w:r>
    </w:p>
    <w:p w:rsidR="00722DA1" w:rsidRDefault="00722DA1" w:rsidP="00722DA1">
      <w:pPr>
        <w:pStyle w:val="Prrafodelista"/>
        <w:jc w:val="both"/>
        <w:rPr>
          <w:rFonts w:ascii="Arial" w:hAnsi="Arial" w:cs="Arial"/>
        </w:rPr>
      </w:pPr>
    </w:p>
    <w:p w:rsidR="00722DA1" w:rsidRPr="00722DA1" w:rsidRDefault="00722DA1" w:rsidP="00722DA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22DA1">
        <w:rPr>
          <w:rFonts w:ascii="Arial" w:hAnsi="Arial" w:cs="Arial"/>
          <w:b/>
        </w:rPr>
        <w:t>la Implementación de 2 Cajas de Cobro en Oficinas Generales</w:t>
      </w:r>
    </w:p>
    <w:p w:rsidR="00722DA1" w:rsidRPr="00722DA1" w:rsidRDefault="00722DA1" w:rsidP="00722DA1">
      <w:pPr>
        <w:jc w:val="both"/>
        <w:rPr>
          <w:rFonts w:ascii="Arial" w:hAnsi="Arial" w:cs="Arial"/>
          <w:b/>
        </w:rPr>
      </w:pPr>
    </w:p>
    <w:p w:rsidR="00722DA1" w:rsidRPr="00722DA1" w:rsidRDefault="00722DA1" w:rsidP="00722DA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22DA1">
        <w:rPr>
          <w:rFonts w:ascii="Arial" w:hAnsi="Arial" w:cs="Arial"/>
          <w:b/>
        </w:rPr>
        <w:t>1 Cajero automático abierto 24/7 los 365 días del año</w:t>
      </w:r>
    </w:p>
    <w:p w:rsidR="00722DA1" w:rsidRPr="00722DA1" w:rsidRDefault="00722DA1" w:rsidP="00722DA1">
      <w:pPr>
        <w:pStyle w:val="Prrafodelista"/>
        <w:rPr>
          <w:rFonts w:ascii="Arial" w:hAnsi="Arial" w:cs="Arial"/>
          <w:b/>
        </w:rPr>
      </w:pPr>
    </w:p>
    <w:p w:rsidR="00722DA1" w:rsidRDefault="00722DA1" w:rsidP="00722DA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22DA1">
        <w:rPr>
          <w:rFonts w:ascii="Arial" w:hAnsi="Arial" w:cs="Arial"/>
          <w:b/>
        </w:rPr>
        <w:t>Contrato de cobro con tiendas Lores para realizar el cobro de recibo a tiempo en todas sus sucursales.</w:t>
      </w:r>
    </w:p>
    <w:p w:rsidR="00A44B9D" w:rsidRPr="00A44B9D" w:rsidRDefault="00A44B9D" w:rsidP="00A44B9D">
      <w:pPr>
        <w:pStyle w:val="Prrafodelista"/>
        <w:rPr>
          <w:rFonts w:ascii="Arial" w:hAnsi="Arial" w:cs="Arial"/>
          <w:b/>
        </w:rPr>
      </w:pPr>
    </w:p>
    <w:p w:rsidR="00A44B9D" w:rsidRDefault="00A44B9D" w:rsidP="00722DA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Transferencia Electrónica </w:t>
      </w:r>
      <w:r w:rsidR="00A078E6">
        <w:rPr>
          <w:rFonts w:ascii="Arial" w:hAnsi="Arial" w:cs="Arial"/>
          <w:b/>
        </w:rPr>
        <w:t>con notificación de depósito a correo.</w:t>
      </w:r>
    </w:p>
    <w:p w:rsidR="00722DA1" w:rsidRPr="00722DA1" w:rsidRDefault="00722DA1" w:rsidP="00722DA1">
      <w:pPr>
        <w:pStyle w:val="Prrafodelista"/>
        <w:rPr>
          <w:rFonts w:ascii="Arial" w:hAnsi="Arial" w:cs="Arial"/>
          <w:b/>
        </w:rPr>
      </w:pPr>
    </w:p>
    <w:p w:rsidR="00722DA1" w:rsidRPr="00722DA1" w:rsidRDefault="00722DA1" w:rsidP="00722DA1">
      <w:pPr>
        <w:pStyle w:val="Prrafodelista"/>
        <w:jc w:val="both"/>
        <w:rPr>
          <w:rFonts w:ascii="Arial" w:hAnsi="Arial" w:cs="Arial"/>
          <w:b/>
        </w:rPr>
      </w:pPr>
    </w:p>
    <w:p w:rsidR="00722DA1" w:rsidRPr="00256AB7" w:rsidRDefault="00722DA1" w:rsidP="00722DA1">
      <w:pPr>
        <w:pStyle w:val="Prrafodelista"/>
        <w:jc w:val="both"/>
        <w:rPr>
          <w:rFonts w:ascii="Arial" w:hAnsi="Arial" w:cs="Arial"/>
        </w:rPr>
      </w:pPr>
    </w:p>
    <w:p w:rsidR="00580787" w:rsidRDefault="00580787" w:rsidP="0058078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Modernización de su sistema administrativo</w:t>
      </w:r>
    </w:p>
    <w:p w:rsidR="00464D9E" w:rsidRPr="00464D9E" w:rsidRDefault="00464D9E" w:rsidP="00464D9E">
      <w:pPr>
        <w:jc w:val="both"/>
        <w:rPr>
          <w:rFonts w:ascii="Arial" w:hAnsi="Arial" w:cs="Arial"/>
          <w:b/>
        </w:rPr>
      </w:pPr>
      <w:r w:rsidRPr="00464D9E">
        <w:rPr>
          <w:rFonts w:ascii="Arial" w:hAnsi="Arial" w:cs="Arial"/>
          <w:b/>
        </w:rPr>
        <w:t>R: Es el mismo sistema solo que se está tratando de utilizar todas las herramientas que proporciona para el trabajo en PADRON.</w:t>
      </w:r>
    </w:p>
    <w:p w:rsidR="0058078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Equipamiento, construcción y ampliaciones de las redes de conducción de agua</w:t>
      </w:r>
    </w:p>
    <w:p w:rsidR="00464D9E" w:rsidRDefault="00464D9E" w:rsidP="00464D9E">
      <w:pPr>
        <w:jc w:val="both"/>
        <w:rPr>
          <w:rFonts w:ascii="Arial" w:hAnsi="Arial" w:cs="Arial"/>
        </w:rPr>
      </w:pPr>
    </w:p>
    <w:p w:rsidR="00464D9E" w:rsidRDefault="00464D9E" w:rsidP="00464D9E">
      <w:pPr>
        <w:jc w:val="both"/>
        <w:rPr>
          <w:rFonts w:ascii="Arial" w:hAnsi="Arial" w:cs="Arial"/>
          <w:b/>
        </w:rPr>
      </w:pPr>
      <w:r w:rsidRPr="00464D9E">
        <w:rPr>
          <w:rFonts w:ascii="Arial" w:hAnsi="Arial" w:cs="Arial"/>
          <w:b/>
        </w:rPr>
        <w:t>R: Las ampliaciones de Red son por parte de Obras Públicas.</w:t>
      </w:r>
    </w:p>
    <w:p w:rsidR="00464D9E" w:rsidRPr="00464D9E" w:rsidRDefault="00464D9E" w:rsidP="00464D9E">
      <w:pPr>
        <w:jc w:val="both"/>
        <w:rPr>
          <w:rFonts w:ascii="Arial" w:hAnsi="Arial" w:cs="Arial"/>
          <w:b/>
        </w:rPr>
      </w:pP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Otros (especificar)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lastRenderedPageBreak/>
        <w:t>11. De existir plantas de tratamiento de aguas residuales, señale cuántas hay, en qué municipio, su capacidad y</w:t>
      </w:r>
      <w:r>
        <w:rPr>
          <w:rFonts w:ascii="Arial" w:hAnsi="Arial" w:cs="Arial"/>
        </w:rPr>
        <w:t>,</w:t>
      </w:r>
      <w:r w:rsidRPr="00256AB7">
        <w:rPr>
          <w:rFonts w:ascii="Arial" w:hAnsi="Arial" w:cs="Arial"/>
        </w:rPr>
        <w:t xml:space="preserve"> en su caso</w:t>
      </w:r>
      <w:r>
        <w:rPr>
          <w:rFonts w:ascii="Arial" w:hAnsi="Arial" w:cs="Arial"/>
        </w:rPr>
        <w:t>,</w:t>
      </w:r>
      <w:r w:rsidRPr="00256AB7">
        <w:rPr>
          <w:rFonts w:ascii="Arial" w:hAnsi="Arial" w:cs="Arial"/>
        </w:rPr>
        <w:t xml:space="preserve"> el costo - beneficio.</w:t>
      </w:r>
    </w:p>
    <w:p w:rsidR="00E25C58" w:rsidRPr="00E25C58" w:rsidRDefault="00E25C58" w:rsidP="00580787">
      <w:pPr>
        <w:jc w:val="both"/>
        <w:rPr>
          <w:rFonts w:ascii="Arial" w:hAnsi="Arial" w:cs="Arial"/>
          <w:b/>
        </w:rPr>
      </w:pPr>
    </w:p>
    <w:p w:rsidR="00E25C58" w:rsidRPr="00E25C58" w:rsidRDefault="00E25C58" w:rsidP="00580787">
      <w:pPr>
        <w:jc w:val="both"/>
        <w:rPr>
          <w:rFonts w:ascii="Arial" w:hAnsi="Arial" w:cs="Arial"/>
          <w:b/>
        </w:rPr>
      </w:pPr>
      <w:r w:rsidRPr="00E25C58">
        <w:rPr>
          <w:rFonts w:ascii="Arial" w:hAnsi="Arial" w:cs="Arial"/>
          <w:b/>
        </w:rPr>
        <w:t>R: La planta de tratamiento esta deshabilitada.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600"/>
        <w:gridCol w:w="1500"/>
        <w:gridCol w:w="1080"/>
      </w:tblGrid>
      <w:tr w:rsidR="00580787" w:rsidRPr="005C4F0C" w:rsidTr="004740DC">
        <w:trPr>
          <w:trHeight w:val="4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5" w:name="_MON_1422440498"/>
            <w:bookmarkEnd w:id="5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Plantas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Capacidad litros/segundo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Costo-Beneficio</w:t>
            </w:r>
          </w:p>
        </w:tc>
      </w:tr>
      <w:tr w:rsidR="00580787" w:rsidRPr="005C4F0C" w:rsidTr="004740DC">
        <w:trPr>
          <w:trHeight w:val="2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22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22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  <w:b/>
        </w:rPr>
      </w:pPr>
    </w:p>
    <w:p w:rsidR="00580787" w:rsidRDefault="00580787" w:rsidP="00580787">
      <w:pPr>
        <w:jc w:val="both"/>
        <w:rPr>
          <w:rFonts w:ascii="Arial" w:hAnsi="Arial" w:cs="Arial"/>
          <w:b/>
        </w:rPr>
      </w:pPr>
    </w:p>
    <w:p w:rsidR="00580787" w:rsidRDefault="00580787" w:rsidP="00580787">
      <w:pPr>
        <w:jc w:val="both"/>
        <w:rPr>
          <w:rFonts w:ascii="Arial" w:hAnsi="Arial" w:cs="Arial"/>
          <w:b/>
        </w:rPr>
      </w:pPr>
      <w:r w:rsidRPr="00925D03">
        <w:rPr>
          <w:rFonts w:ascii="Arial" w:hAnsi="Arial" w:cs="Arial"/>
          <w:b/>
        </w:rPr>
        <w:t>Notas:</w:t>
      </w:r>
    </w:p>
    <w:p w:rsidR="00580787" w:rsidRPr="00925D03" w:rsidRDefault="00580787" w:rsidP="00580787">
      <w:pPr>
        <w:jc w:val="both"/>
        <w:rPr>
          <w:rFonts w:ascii="Arial" w:hAnsi="Arial" w:cs="Arial"/>
          <w:b/>
        </w:rPr>
      </w:pPr>
    </w:p>
    <w:p w:rsidR="00580787" w:rsidRPr="00925D03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1. En el caso de incrementos importantes en la recaudación o variaciones significativas con res</w:t>
      </w:r>
      <w:r>
        <w:rPr>
          <w:rFonts w:ascii="Arial" w:hAnsi="Arial" w:cs="Arial"/>
        </w:rPr>
        <w:t>pecto al año inmediato anterior;</w:t>
      </w:r>
      <w:r w:rsidRPr="00925D03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Pr="00925D03">
        <w:rPr>
          <w:rFonts w:ascii="Arial" w:hAnsi="Arial" w:cs="Arial"/>
        </w:rPr>
        <w:t xml:space="preserve"> cifras superiores como resultado de incrementos en tasas, cuotas o tarifas, deberá abundarse al respecto.</w:t>
      </w: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580787" w:rsidRPr="001C4087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 xml:space="preserve">2. Debe aportar los elementos que se consideren necesarios a efecto de que el Comité de Vigilancia cuente con información suficiente para estar en condiciones de validar su información. </w:t>
      </w:r>
      <w:r>
        <w:rPr>
          <w:rFonts w:ascii="Arial" w:hAnsi="Arial" w:cs="Arial"/>
        </w:rPr>
        <w:t>Todo el soporte documental deberá adjuntarse en el apartado de información soporte de la plataforma.</w:t>
      </w: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580787" w:rsidRPr="00925D03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3. Se recomienda explicar los programas, acciones, enviar actas de cabildo, instr</w:t>
      </w:r>
      <w:r>
        <w:rPr>
          <w:rFonts w:ascii="Arial" w:hAnsi="Arial" w:cs="Arial"/>
        </w:rPr>
        <w:t>ucciones sobre operativos, etc.;</w:t>
      </w:r>
      <w:r w:rsidRPr="00925D03">
        <w:rPr>
          <w:rFonts w:ascii="Arial" w:hAnsi="Arial" w:cs="Arial"/>
        </w:rPr>
        <w:t xml:space="preserve"> tanto de la Entidad en su conjunto como de algún municipio en lo particular que se considere necesario. </w:t>
      </w: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580787" w:rsidRPr="00925D03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 xml:space="preserve">4. La información que se solicita en la pregunta </w:t>
      </w:r>
      <w:r>
        <w:rPr>
          <w:rFonts w:ascii="Arial" w:hAnsi="Arial" w:cs="Arial"/>
        </w:rPr>
        <w:t>7</w:t>
      </w:r>
      <w:r w:rsidRPr="00925D03">
        <w:rPr>
          <w:rFonts w:ascii="Arial" w:hAnsi="Arial" w:cs="Arial"/>
        </w:rPr>
        <w:t xml:space="preserve"> corresponde contestar a aquellos organismos que tienen la capacidad e infraestructura administrativa que le</w:t>
      </w:r>
      <w:r>
        <w:rPr>
          <w:rFonts w:ascii="Arial" w:hAnsi="Arial" w:cs="Arial"/>
        </w:rPr>
        <w:t>s</w:t>
      </w:r>
      <w:r w:rsidRPr="00925D03">
        <w:rPr>
          <w:rFonts w:ascii="Arial" w:hAnsi="Arial" w:cs="Arial"/>
        </w:rPr>
        <w:t xml:space="preserve"> permite llevar estadísticas, o que por su magnitud son las generadoras de la mayor recaudación de los derechos por suministro de agua.</w:t>
      </w: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DE5CB8" w:rsidRDefault="00580787" w:rsidP="00580787">
      <w:pPr>
        <w:jc w:val="both"/>
      </w:pPr>
      <w:r w:rsidRPr="00925D03">
        <w:rPr>
          <w:rFonts w:ascii="Arial" w:hAnsi="Arial" w:cs="Arial"/>
        </w:rPr>
        <w:t>5. Si a juicio de la Entidad requiere profundizar algún punto de su información que facilite la validación de las mismas, favor de agre</w:t>
      </w:r>
      <w:r w:rsidR="007B025D">
        <w:rPr>
          <w:rFonts w:ascii="Arial" w:hAnsi="Arial" w:cs="Arial"/>
        </w:rPr>
        <w:t>garlo al final del cuestionario.</w:t>
      </w:r>
    </w:p>
    <w:sectPr w:rsidR="00DE5C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46" w:rsidRDefault="00364346" w:rsidP="00580787">
      <w:r>
        <w:separator/>
      </w:r>
    </w:p>
  </w:endnote>
  <w:endnote w:type="continuationSeparator" w:id="0">
    <w:p w:rsidR="00364346" w:rsidRDefault="00364346" w:rsidP="005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46" w:rsidRDefault="00364346" w:rsidP="00580787">
      <w:r>
        <w:separator/>
      </w:r>
    </w:p>
  </w:footnote>
  <w:footnote w:type="continuationSeparator" w:id="0">
    <w:p w:rsidR="00364346" w:rsidRDefault="00364346" w:rsidP="005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87" w:rsidRDefault="00580787" w:rsidP="00580787">
    <w:pPr>
      <w:pStyle w:val="Encabezado"/>
      <w:pBdr>
        <w:bottom w:val="single" w:sz="4" w:space="1" w:color="auto"/>
      </w:pBdr>
      <w:jc w:val="right"/>
      <w:rPr>
        <w:rFonts w:ascii="Arial" w:hAnsi="Arial" w:cs="Arial"/>
        <w:noProof/>
        <w:sz w:val="18"/>
        <w:lang w:eastAsia="es-MX"/>
      </w:rPr>
    </w:pPr>
    <w:r w:rsidRPr="00A031D2">
      <w:rPr>
        <w:rFonts w:ascii="Arial" w:hAnsi="Arial" w:cs="Arial"/>
        <w:noProof/>
        <w:sz w:val="18"/>
        <w:lang w:eastAsia="es-MX"/>
      </w:rPr>
      <w:t xml:space="preserve">Cuestionario Derechos por </w:t>
    </w:r>
    <w:r>
      <w:rPr>
        <w:rFonts w:ascii="Arial" w:hAnsi="Arial" w:cs="Arial"/>
        <w:noProof/>
        <w:sz w:val="18"/>
        <w:lang w:eastAsia="es-MX"/>
      </w:rPr>
      <w:t>Suministro</w:t>
    </w:r>
    <w:r w:rsidRPr="00A031D2">
      <w:rPr>
        <w:rFonts w:ascii="Arial" w:hAnsi="Arial" w:cs="Arial"/>
        <w:noProof/>
        <w:sz w:val="18"/>
        <w:lang w:eastAsia="es-MX"/>
      </w:rPr>
      <w:t xml:space="preserve"> de Agua. Ejercicio 20</w:t>
    </w:r>
    <w:r>
      <w:rPr>
        <w:rFonts w:ascii="Arial" w:hAnsi="Arial" w:cs="Arial"/>
        <w:noProof/>
        <w:sz w:val="18"/>
        <w:lang w:eastAsia="es-MX"/>
      </w:rPr>
      <w:t>24</w:t>
    </w:r>
  </w:p>
  <w:p w:rsidR="00580787" w:rsidRDefault="00580787" w:rsidP="00580787">
    <w:pPr>
      <w:pStyle w:val="Encabezado"/>
      <w:pBdr>
        <w:bottom w:val="single" w:sz="4" w:space="1" w:color="auto"/>
      </w:pBdr>
      <w:jc w:val="right"/>
      <w:rPr>
        <w:rFonts w:ascii="Arial" w:hAnsi="Arial" w:cs="Arial"/>
        <w:noProof/>
        <w:sz w:val="18"/>
        <w:lang w:eastAsia="es-MX"/>
      </w:rPr>
    </w:pPr>
  </w:p>
  <w:p w:rsidR="00580787" w:rsidRDefault="005807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7052"/>
    <w:multiLevelType w:val="hybridMultilevel"/>
    <w:tmpl w:val="4D44AD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7FF6"/>
    <w:multiLevelType w:val="hybridMultilevel"/>
    <w:tmpl w:val="CA32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3C73"/>
    <w:multiLevelType w:val="hybridMultilevel"/>
    <w:tmpl w:val="95CE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87"/>
    <w:rsid w:val="000360EA"/>
    <w:rsid w:val="00051AC9"/>
    <w:rsid w:val="00094686"/>
    <w:rsid w:val="000A1F25"/>
    <w:rsid w:val="000E6EFE"/>
    <w:rsid w:val="00101A7E"/>
    <w:rsid w:val="00137B2C"/>
    <w:rsid w:val="001771D1"/>
    <w:rsid w:val="001818B6"/>
    <w:rsid w:val="001D247E"/>
    <w:rsid w:val="00250AEE"/>
    <w:rsid w:val="002E37E8"/>
    <w:rsid w:val="002E74F7"/>
    <w:rsid w:val="00355AED"/>
    <w:rsid w:val="00364346"/>
    <w:rsid w:val="0037764D"/>
    <w:rsid w:val="003862B8"/>
    <w:rsid w:val="003B1298"/>
    <w:rsid w:val="003B51C9"/>
    <w:rsid w:val="003D5E55"/>
    <w:rsid w:val="003F5ED1"/>
    <w:rsid w:val="00464D9E"/>
    <w:rsid w:val="00580787"/>
    <w:rsid w:val="005A4BEC"/>
    <w:rsid w:val="00701FE5"/>
    <w:rsid w:val="00722DA1"/>
    <w:rsid w:val="00750DA8"/>
    <w:rsid w:val="00757ED0"/>
    <w:rsid w:val="007B025D"/>
    <w:rsid w:val="007B5429"/>
    <w:rsid w:val="00863913"/>
    <w:rsid w:val="00863C96"/>
    <w:rsid w:val="008723F9"/>
    <w:rsid w:val="009019CC"/>
    <w:rsid w:val="009204F1"/>
    <w:rsid w:val="00947C82"/>
    <w:rsid w:val="009B72DC"/>
    <w:rsid w:val="009C499B"/>
    <w:rsid w:val="009D611F"/>
    <w:rsid w:val="009F706B"/>
    <w:rsid w:val="00A078E6"/>
    <w:rsid w:val="00A311DE"/>
    <w:rsid w:val="00A44B9D"/>
    <w:rsid w:val="00A71A4B"/>
    <w:rsid w:val="00AC57FD"/>
    <w:rsid w:val="00AD05B4"/>
    <w:rsid w:val="00AF49CC"/>
    <w:rsid w:val="00B55311"/>
    <w:rsid w:val="00B57F4C"/>
    <w:rsid w:val="00B846CE"/>
    <w:rsid w:val="00C1541F"/>
    <w:rsid w:val="00C65C1B"/>
    <w:rsid w:val="00E25C58"/>
    <w:rsid w:val="00E5655E"/>
    <w:rsid w:val="00E97221"/>
    <w:rsid w:val="00EA30FA"/>
    <w:rsid w:val="00F951E9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7E12F"/>
  <w15:chartTrackingRefBased/>
  <w15:docId w15:val="{D4511880-6B8A-4825-9CBB-B5DE95E3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87"/>
    <w:pPr>
      <w:spacing w:after="0" w:line="240" w:lineRule="auto"/>
      <w:ind w:right="51"/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7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787"/>
  </w:style>
  <w:style w:type="paragraph" w:styleId="Piedepgina">
    <w:name w:val="footer"/>
    <w:basedOn w:val="Normal"/>
    <w:link w:val="PiedepginaCar"/>
    <w:uiPriority w:val="99"/>
    <w:unhideWhenUsed/>
    <w:rsid w:val="005807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787"/>
  </w:style>
  <w:style w:type="paragraph" w:styleId="Prrafodelista">
    <w:name w:val="List Paragraph"/>
    <w:basedOn w:val="Normal"/>
    <w:uiPriority w:val="34"/>
    <w:qFormat/>
    <w:rsid w:val="00580787"/>
    <w:pPr>
      <w:ind w:left="720"/>
      <w:contextualSpacing/>
    </w:pPr>
  </w:style>
  <w:style w:type="paragraph" w:styleId="Ttulo">
    <w:name w:val="Title"/>
    <w:basedOn w:val="Normal"/>
    <w:link w:val="TtuloCar"/>
    <w:qFormat/>
    <w:rsid w:val="00580787"/>
    <w:pPr>
      <w:ind w:right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8078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80787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6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686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22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ROAPATB?mibextid=ZbWK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Elizabeth Solorzano Ibañez</dc:creator>
  <cp:keywords/>
  <dc:description/>
  <cp:lastModifiedBy>VENTANILLA04</cp:lastModifiedBy>
  <cp:revision>3</cp:revision>
  <cp:lastPrinted>2025-03-27T20:15:00Z</cp:lastPrinted>
  <dcterms:created xsi:type="dcterms:W3CDTF">2025-03-27T20:16:00Z</dcterms:created>
  <dcterms:modified xsi:type="dcterms:W3CDTF">2025-03-27T20:53:00Z</dcterms:modified>
</cp:coreProperties>
</file>