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946F" w14:textId="77777777" w:rsidR="00580787" w:rsidRPr="00791CEF" w:rsidRDefault="00580787" w:rsidP="00580787">
      <w:pPr>
        <w:pStyle w:val="Ttulo"/>
        <w:outlineLvl w:val="0"/>
        <w:rPr>
          <w:rFonts w:ascii="Neo Sans Pro" w:hAnsi="Neo Sans Pro" w:cs="Arial"/>
          <w:sz w:val="28"/>
          <w:szCs w:val="28"/>
        </w:rPr>
      </w:pPr>
      <w:r w:rsidRPr="00791CEF">
        <w:rPr>
          <w:rFonts w:ascii="Neo Sans Pro" w:hAnsi="Neo Sans Pro" w:cs="Arial"/>
          <w:sz w:val="28"/>
          <w:szCs w:val="28"/>
        </w:rPr>
        <w:t xml:space="preserve">Contribución Local: Derechos por Suministro de Agua </w:t>
      </w:r>
    </w:p>
    <w:p w14:paraId="6C54506C" w14:textId="77777777" w:rsidR="00580787" w:rsidRPr="00791CEF" w:rsidRDefault="00580787" w:rsidP="00580787">
      <w:pPr>
        <w:pStyle w:val="Ttulo"/>
        <w:rPr>
          <w:rFonts w:ascii="Neo Sans Pro" w:hAnsi="Neo Sans Pro" w:cs="Arial"/>
          <w:sz w:val="28"/>
          <w:szCs w:val="28"/>
        </w:rPr>
      </w:pPr>
    </w:p>
    <w:p w14:paraId="799E20DD" w14:textId="77777777" w:rsidR="00580787" w:rsidRPr="00791CEF" w:rsidRDefault="00580787" w:rsidP="00580787">
      <w:pPr>
        <w:pStyle w:val="Ttulo"/>
        <w:outlineLvl w:val="0"/>
        <w:rPr>
          <w:rFonts w:ascii="Neo Sans Pro" w:hAnsi="Neo Sans Pro" w:cs="Arial"/>
          <w:sz w:val="28"/>
          <w:szCs w:val="28"/>
        </w:rPr>
      </w:pPr>
      <w:r w:rsidRPr="00791CEF">
        <w:rPr>
          <w:rFonts w:ascii="Neo Sans Pro" w:hAnsi="Neo Sans Pro" w:cs="Arial"/>
          <w:sz w:val="28"/>
          <w:szCs w:val="28"/>
        </w:rPr>
        <w:t>CUESTIONARIO EJERCICIO 2024</w:t>
      </w:r>
    </w:p>
    <w:p w14:paraId="425FB233" w14:textId="77777777" w:rsidR="00580787" w:rsidRPr="00791CEF" w:rsidRDefault="00580787" w:rsidP="00580787">
      <w:pPr>
        <w:pStyle w:val="Ttulo"/>
        <w:rPr>
          <w:rFonts w:ascii="Neo Sans Pro" w:hAnsi="Neo Sans Pro" w:cs="Arial"/>
          <w:sz w:val="28"/>
          <w:szCs w:val="28"/>
        </w:rPr>
      </w:pPr>
    </w:p>
    <w:p w14:paraId="433DEA7A" w14:textId="77777777" w:rsidR="00791CEF" w:rsidRDefault="00580787" w:rsidP="00D174C6">
      <w:pPr>
        <w:tabs>
          <w:tab w:val="left" w:pos="2835"/>
        </w:tabs>
        <w:jc w:val="right"/>
        <w:rPr>
          <w:rFonts w:ascii="Neo Sans Pro" w:hAnsi="Neo Sans Pro" w:cs="Arial"/>
          <w:b/>
          <w:sz w:val="20"/>
          <w:szCs w:val="20"/>
        </w:rPr>
      </w:pPr>
      <w:r w:rsidRPr="00FE2459">
        <w:rPr>
          <w:rFonts w:ascii="Neo Sans Pro" w:hAnsi="Neo Sans Pro" w:cs="Arial"/>
          <w:b/>
          <w:sz w:val="20"/>
          <w:szCs w:val="20"/>
        </w:rPr>
        <w:t xml:space="preserve">                  </w:t>
      </w:r>
      <w:r w:rsidRPr="00FE2459">
        <w:rPr>
          <w:rFonts w:ascii="Neo Sans Pro" w:hAnsi="Neo Sans Pro" w:cs="Arial"/>
          <w:b/>
          <w:sz w:val="20"/>
          <w:szCs w:val="20"/>
        </w:rPr>
        <w:tab/>
        <w:t xml:space="preserve">Entidad Federativa: </w:t>
      </w:r>
      <w:r w:rsidR="00D174C6" w:rsidRPr="00FE2459">
        <w:rPr>
          <w:rFonts w:ascii="Neo Sans Pro" w:hAnsi="Neo Sans Pro" w:cs="Arial"/>
          <w:b/>
          <w:sz w:val="20"/>
          <w:szCs w:val="20"/>
        </w:rPr>
        <w:t xml:space="preserve">Veracruz, </w:t>
      </w:r>
    </w:p>
    <w:p w14:paraId="0DCD6FD3" w14:textId="44F9EE75" w:rsidR="00580787" w:rsidRPr="00FE2459" w:rsidRDefault="00D174C6" w:rsidP="00D174C6">
      <w:pPr>
        <w:tabs>
          <w:tab w:val="left" w:pos="2835"/>
        </w:tabs>
        <w:jc w:val="right"/>
        <w:rPr>
          <w:rFonts w:ascii="Neo Sans Pro" w:hAnsi="Neo Sans Pro" w:cs="Arial"/>
          <w:b/>
          <w:sz w:val="20"/>
          <w:szCs w:val="20"/>
        </w:rPr>
      </w:pPr>
      <w:r w:rsidRPr="00FE2459">
        <w:rPr>
          <w:rFonts w:ascii="Neo Sans Pro" w:hAnsi="Neo Sans Pro" w:cs="Arial"/>
          <w:b/>
          <w:sz w:val="20"/>
          <w:szCs w:val="20"/>
        </w:rPr>
        <w:t>Municipio Úrsulo Galván</w:t>
      </w:r>
    </w:p>
    <w:p w14:paraId="608B352D" w14:textId="63236FDD" w:rsidR="00580787" w:rsidRPr="00FE2459" w:rsidRDefault="002E6788" w:rsidP="00580787">
      <w:pPr>
        <w:jc w:val="both"/>
        <w:rPr>
          <w:rFonts w:ascii="Neo Sans Pro" w:hAnsi="Neo Sans Pro" w:cs="Arial"/>
          <w:sz w:val="20"/>
          <w:szCs w:val="20"/>
        </w:rPr>
      </w:pPr>
      <w:r w:rsidRPr="00FE2459">
        <w:rPr>
          <w:rFonts w:ascii="Neo Sans Pro" w:hAnsi="Neo Sans Pro" w:cs="Arial"/>
          <w:b/>
          <w:noProof/>
          <w:sz w:val="20"/>
          <w:szCs w:val="20"/>
          <w:lang w:eastAsia="es-MX"/>
        </w:rPr>
        <mc:AlternateContent>
          <mc:Choice Requires="wps">
            <w:drawing>
              <wp:anchor distT="0" distB="0" distL="114300" distR="114300" simplePos="0" relativeHeight="251659264" behindDoc="0" locked="0" layoutInCell="1" allowOverlap="1" wp14:anchorId="2B479F36" wp14:editId="3707476D">
                <wp:simplePos x="0" y="0"/>
                <wp:positionH relativeFrom="column">
                  <wp:posOffset>4173352</wp:posOffset>
                </wp:positionH>
                <wp:positionV relativeFrom="paragraph">
                  <wp:posOffset>3726</wp:posOffset>
                </wp:positionV>
                <wp:extent cx="1392579"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3BC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6pt,.3pt" to="43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nOsAEAAEgDAAAOAAAAZHJzL2Uyb0RvYy54bWysU8GO0zAQvSPxD5bvNG1RgUZN99BluSxQ&#10;aZcPmNpOYuF4rBm3Sf8e29uWFdwQOVgez8zze8+Tzd00OHEyxBZ9IxezuRTGK9TWd4388fzw7p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"/>
            </w:pict>
          </mc:Fallback>
        </mc:AlternateContent>
      </w:r>
    </w:p>
    <w:p w14:paraId="7A96FC6E" w14:textId="17F10AA3" w:rsidR="00580787" w:rsidRDefault="00580787" w:rsidP="00580787">
      <w:pPr>
        <w:jc w:val="both"/>
        <w:rPr>
          <w:rFonts w:ascii="Neo Sans Pro" w:hAnsi="Neo Sans Pro" w:cs="Arial"/>
          <w:b/>
          <w:bCs/>
          <w:sz w:val="20"/>
          <w:szCs w:val="20"/>
        </w:rPr>
      </w:pPr>
      <w:r w:rsidRPr="000F7E00">
        <w:rPr>
          <w:rFonts w:ascii="Neo Sans Pro" w:hAnsi="Neo Sans Pro" w:cs="Arial"/>
          <w:b/>
          <w:bCs/>
          <w:sz w:val="20"/>
          <w:szCs w:val="20"/>
        </w:rPr>
        <w:t>1. Señale los elementos constitutivos vigentes del año que se informa de los Derechos por el Suministro de Agua, indicando el ordenamiento legal y el número de artículo en el que se establece. (Es necesario que se anexen los ordenamientos legales donde se precisan, en caso de ser diferentes entre los municipios, agrúpelos por similitud y señale las diferencias entre ellos).</w:t>
      </w:r>
    </w:p>
    <w:p w14:paraId="028E0B1C" w14:textId="77777777" w:rsidR="000F7E00" w:rsidRDefault="000F7E00" w:rsidP="00580787">
      <w:pPr>
        <w:jc w:val="both"/>
        <w:rPr>
          <w:rFonts w:ascii="Neo Sans Pro" w:hAnsi="Neo Sans Pro" w:cs="Arial"/>
          <w:b/>
          <w:bCs/>
          <w:sz w:val="20"/>
          <w:szCs w:val="20"/>
        </w:rPr>
      </w:pPr>
    </w:p>
    <w:p w14:paraId="7A906122" w14:textId="3B7AD7C8" w:rsidR="00C7249B" w:rsidRPr="000F7E00" w:rsidRDefault="000F7E00" w:rsidP="00580787">
      <w:pPr>
        <w:jc w:val="both"/>
        <w:rPr>
          <w:rFonts w:ascii="Neo Sans Pro" w:hAnsi="Neo Sans Pro" w:cs="Arial"/>
          <w:b/>
          <w:bCs/>
          <w:sz w:val="20"/>
          <w:szCs w:val="20"/>
        </w:rPr>
      </w:pPr>
      <w:r>
        <w:rPr>
          <w:rFonts w:ascii="Neo Sans Pro" w:hAnsi="Neo Sans Pro" w:cs="Arial"/>
          <w:b/>
          <w:bCs/>
          <w:sz w:val="20"/>
          <w:szCs w:val="20"/>
        </w:rPr>
        <w:t>R.- Ordenamientos legales.</w:t>
      </w:r>
    </w:p>
    <w:p w14:paraId="22572278" w14:textId="52733B68" w:rsidR="00A35CC6" w:rsidRPr="00A35CC6" w:rsidRDefault="00E91D5E" w:rsidP="00A35CC6">
      <w:pPr>
        <w:pStyle w:val="Prrafodelista"/>
        <w:numPr>
          <w:ilvl w:val="0"/>
          <w:numId w:val="3"/>
        </w:numPr>
        <w:jc w:val="both"/>
        <w:rPr>
          <w:rFonts w:ascii="Neo Sans Pro" w:hAnsi="Neo Sans Pro" w:cs="Arial"/>
          <w:sz w:val="20"/>
          <w:szCs w:val="20"/>
        </w:rPr>
      </w:pPr>
      <w:r w:rsidRPr="00A35CC6">
        <w:rPr>
          <w:rFonts w:ascii="Neo Sans Pro" w:hAnsi="Neo Sans Pro" w:cs="Arial"/>
          <w:sz w:val="20"/>
          <w:szCs w:val="20"/>
        </w:rPr>
        <w:t xml:space="preserve">Ley </w:t>
      </w:r>
      <w:r>
        <w:rPr>
          <w:rFonts w:ascii="Neo Sans Pro" w:hAnsi="Neo Sans Pro" w:cs="Arial"/>
          <w:sz w:val="20"/>
          <w:szCs w:val="20"/>
        </w:rPr>
        <w:t>d</w:t>
      </w:r>
      <w:r w:rsidRPr="00A35CC6">
        <w:rPr>
          <w:rFonts w:ascii="Neo Sans Pro" w:hAnsi="Neo Sans Pro" w:cs="Arial"/>
          <w:sz w:val="20"/>
          <w:szCs w:val="20"/>
        </w:rPr>
        <w:t xml:space="preserve">e Aguas </w:t>
      </w:r>
      <w:r>
        <w:rPr>
          <w:rFonts w:ascii="Neo Sans Pro" w:hAnsi="Neo Sans Pro" w:cs="Arial"/>
          <w:sz w:val="20"/>
          <w:szCs w:val="20"/>
        </w:rPr>
        <w:t>d</w:t>
      </w:r>
      <w:r w:rsidRPr="00A35CC6">
        <w:rPr>
          <w:rFonts w:ascii="Neo Sans Pro" w:hAnsi="Neo Sans Pro" w:cs="Arial"/>
          <w:sz w:val="20"/>
          <w:szCs w:val="20"/>
        </w:rPr>
        <w:t xml:space="preserve">el Estado </w:t>
      </w:r>
      <w:r>
        <w:rPr>
          <w:rFonts w:ascii="Neo Sans Pro" w:hAnsi="Neo Sans Pro" w:cs="Arial"/>
          <w:sz w:val="20"/>
          <w:szCs w:val="20"/>
        </w:rPr>
        <w:t>d</w:t>
      </w:r>
      <w:r w:rsidRPr="00A35CC6">
        <w:rPr>
          <w:rFonts w:ascii="Neo Sans Pro" w:hAnsi="Neo Sans Pro" w:cs="Arial"/>
          <w:sz w:val="20"/>
          <w:szCs w:val="20"/>
        </w:rPr>
        <w:t xml:space="preserve">e Veracruz </w:t>
      </w:r>
      <w:r>
        <w:rPr>
          <w:rFonts w:ascii="Neo Sans Pro" w:hAnsi="Neo Sans Pro" w:cs="Arial"/>
          <w:sz w:val="20"/>
          <w:szCs w:val="20"/>
        </w:rPr>
        <w:t>d</w:t>
      </w:r>
      <w:r w:rsidRPr="00A35CC6">
        <w:rPr>
          <w:rFonts w:ascii="Neo Sans Pro" w:hAnsi="Neo Sans Pro" w:cs="Arial"/>
          <w:sz w:val="20"/>
          <w:szCs w:val="20"/>
        </w:rPr>
        <w:t xml:space="preserve">e Ignacio </w:t>
      </w:r>
      <w:r>
        <w:rPr>
          <w:rFonts w:ascii="Neo Sans Pro" w:hAnsi="Neo Sans Pro" w:cs="Arial"/>
          <w:sz w:val="20"/>
          <w:szCs w:val="20"/>
        </w:rPr>
        <w:t>d</w:t>
      </w:r>
      <w:r w:rsidRPr="00A35CC6">
        <w:rPr>
          <w:rFonts w:ascii="Neo Sans Pro" w:hAnsi="Neo Sans Pro" w:cs="Arial"/>
          <w:sz w:val="20"/>
          <w:szCs w:val="20"/>
        </w:rPr>
        <w:t xml:space="preserve">e </w:t>
      </w:r>
      <w:r>
        <w:rPr>
          <w:rFonts w:ascii="Neo Sans Pro" w:hAnsi="Neo Sans Pro" w:cs="Arial"/>
          <w:sz w:val="20"/>
          <w:szCs w:val="20"/>
        </w:rPr>
        <w:t>l</w:t>
      </w:r>
      <w:r w:rsidRPr="00A35CC6">
        <w:rPr>
          <w:rFonts w:ascii="Neo Sans Pro" w:hAnsi="Neo Sans Pro" w:cs="Arial"/>
          <w:sz w:val="20"/>
          <w:szCs w:val="20"/>
        </w:rPr>
        <w:t>a Llave</w:t>
      </w:r>
      <w:r>
        <w:rPr>
          <w:rFonts w:ascii="Neo Sans Pro" w:hAnsi="Neo Sans Pro" w:cs="Arial"/>
          <w:sz w:val="20"/>
          <w:szCs w:val="20"/>
        </w:rPr>
        <w:t>, artículos 30, 33</w:t>
      </w:r>
      <w:r w:rsidR="00062D69">
        <w:rPr>
          <w:rFonts w:ascii="Neo Sans Pro" w:hAnsi="Neo Sans Pro" w:cs="Arial"/>
          <w:sz w:val="20"/>
          <w:szCs w:val="20"/>
        </w:rPr>
        <w:t xml:space="preserve">, </w:t>
      </w:r>
      <w:r>
        <w:rPr>
          <w:rFonts w:ascii="Neo Sans Pro" w:hAnsi="Neo Sans Pro" w:cs="Arial"/>
          <w:sz w:val="20"/>
          <w:szCs w:val="20"/>
        </w:rPr>
        <w:t>38</w:t>
      </w:r>
      <w:r w:rsidR="00062D69">
        <w:rPr>
          <w:rFonts w:ascii="Neo Sans Pro" w:hAnsi="Neo Sans Pro" w:cs="Arial"/>
          <w:sz w:val="20"/>
          <w:szCs w:val="20"/>
        </w:rPr>
        <w:t xml:space="preserve">, </w:t>
      </w:r>
      <w:r w:rsidR="00062D69" w:rsidRPr="000F7E00">
        <w:rPr>
          <w:rFonts w:ascii="Neo Sans Pro" w:hAnsi="Neo Sans Pro" w:cs="Arial"/>
          <w:sz w:val="20"/>
          <w:szCs w:val="20"/>
        </w:rPr>
        <w:t>33</w:t>
      </w:r>
      <w:r w:rsidR="00062D69">
        <w:rPr>
          <w:rFonts w:ascii="Neo Sans Pro" w:hAnsi="Neo Sans Pro" w:cs="Arial"/>
          <w:sz w:val="20"/>
          <w:szCs w:val="20"/>
        </w:rPr>
        <w:t>, 38,</w:t>
      </w:r>
      <w:r w:rsidR="00062D69" w:rsidRPr="000F7E00">
        <w:rPr>
          <w:rFonts w:ascii="Neo Sans Pro" w:hAnsi="Neo Sans Pro" w:cs="Arial"/>
          <w:sz w:val="20"/>
          <w:szCs w:val="20"/>
        </w:rPr>
        <w:t xml:space="preserve"> </w:t>
      </w:r>
      <w:r w:rsidR="00062D69">
        <w:rPr>
          <w:rFonts w:ascii="Neo Sans Pro" w:hAnsi="Neo Sans Pro" w:cs="Arial"/>
          <w:sz w:val="20"/>
          <w:szCs w:val="20"/>
        </w:rPr>
        <w:t>102, 104 y 105</w:t>
      </w:r>
      <w:r>
        <w:rPr>
          <w:rFonts w:ascii="Neo Sans Pro" w:hAnsi="Neo Sans Pro" w:cs="Arial"/>
          <w:sz w:val="20"/>
          <w:szCs w:val="20"/>
        </w:rPr>
        <w:t>.</w:t>
      </w:r>
    </w:p>
    <w:p w14:paraId="5A055277" w14:textId="29BAE6F0" w:rsidR="00A35CC6" w:rsidRDefault="00A35CC6" w:rsidP="00A35CC6">
      <w:pPr>
        <w:pStyle w:val="Prrafodelista"/>
        <w:numPr>
          <w:ilvl w:val="0"/>
          <w:numId w:val="3"/>
        </w:numPr>
        <w:jc w:val="both"/>
        <w:rPr>
          <w:rFonts w:ascii="Neo Sans Pro" w:hAnsi="Neo Sans Pro" w:cs="Arial"/>
          <w:sz w:val="20"/>
          <w:szCs w:val="20"/>
        </w:rPr>
      </w:pPr>
      <w:r w:rsidRPr="00A35CC6">
        <w:rPr>
          <w:rFonts w:ascii="Neo Sans Pro" w:hAnsi="Neo Sans Pro" w:cs="Arial"/>
          <w:sz w:val="20"/>
          <w:szCs w:val="20"/>
        </w:rPr>
        <w:t>Tabla de tarifas vigentes 2024</w:t>
      </w:r>
      <w:r w:rsidRPr="00A35CC6">
        <w:rPr>
          <w:rFonts w:ascii="Neo Sans Pro" w:hAnsi="Neo Sans Pro" w:cs="Arial"/>
          <w:sz w:val="20"/>
          <w:szCs w:val="20"/>
        </w:rPr>
        <w:t xml:space="preserve">, </w:t>
      </w:r>
      <w:r w:rsidRPr="00A35CC6">
        <w:rPr>
          <w:rFonts w:ascii="Neo Sans Pro" w:hAnsi="Neo Sans Pro" w:cs="Arial"/>
          <w:sz w:val="20"/>
          <w:szCs w:val="20"/>
        </w:rPr>
        <w:t xml:space="preserve">Acta del H. Cabildo para autorización de tarifas </w:t>
      </w:r>
      <w:r w:rsidRPr="00A35CC6">
        <w:rPr>
          <w:rFonts w:ascii="Neo Sans Pro" w:hAnsi="Neo Sans Pro" w:cs="Arial"/>
          <w:sz w:val="20"/>
          <w:szCs w:val="20"/>
        </w:rPr>
        <w:t xml:space="preserve">autorizada en el ejercicio </w:t>
      </w:r>
      <w:r w:rsidRPr="00A35CC6">
        <w:rPr>
          <w:rFonts w:ascii="Neo Sans Pro" w:hAnsi="Neo Sans Pro" w:cs="Arial"/>
          <w:sz w:val="20"/>
          <w:szCs w:val="20"/>
        </w:rPr>
        <w:t>2024</w:t>
      </w:r>
      <w:r w:rsidRPr="00A35CC6">
        <w:rPr>
          <w:rFonts w:ascii="Neo Sans Pro" w:hAnsi="Neo Sans Pro" w:cs="Arial"/>
          <w:sz w:val="20"/>
          <w:szCs w:val="20"/>
        </w:rPr>
        <w:t>.</w:t>
      </w:r>
      <w:r w:rsidR="00062D69">
        <w:rPr>
          <w:rFonts w:ascii="Neo Sans Pro" w:hAnsi="Neo Sans Pro" w:cs="Arial"/>
          <w:sz w:val="20"/>
          <w:szCs w:val="20"/>
        </w:rPr>
        <w:t xml:space="preserve"> </w:t>
      </w:r>
    </w:p>
    <w:p w14:paraId="06C5E4C0" w14:textId="32CEAEC0" w:rsidR="00A35CC6" w:rsidRDefault="00062D69" w:rsidP="00B47FB0">
      <w:pPr>
        <w:pStyle w:val="Prrafodelista"/>
        <w:numPr>
          <w:ilvl w:val="0"/>
          <w:numId w:val="3"/>
        </w:numPr>
        <w:jc w:val="both"/>
        <w:rPr>
          <w:rFonts w:ascii="Neo Sans Pro" w:hAnsi="Neo Sans Pro" w:cs="Arial"/>
          <w:sz w:val="20"/>
          <w:szCs w:val="20"/>
        </w:rPr>
      </w:pPr>
      <w:r w:rsidRPr="00062D69">
        <w:rPr>
          <w:rFonts w:ascii="Neo Sans Pro" w:hAnsi="Neo Sans Pro" w:cs="Arial"/>
          <w:sz w:val="20"/>
          <w:szCs w:val="20"/>
        </w:rPr>
        <w:t>Artículo 1 de la Ley de Ingresos para el Ejercicio Fiscal 2024</w:t>
      </w:r>
      <w:r w:rsidRPr="00062D69">
        <w:rPr>
          <w:rFonts w:ascii="Neo Sans Pro" w:hAnsi="Neo Sans Pro" w:cs="Arial"/>
          <w:sz w:val="20"/>
          <w:szCs w:val="20"/>
        </w:rPr>
        <w:t xml:space="preserve">; </w:t>
      </w:r>
      <w:r>
        <w:rPr>
          <w:rFonts w:ascii="Neo Sans Pro" w:hAnsi="Neo Sans Pro" w:cs="Arial"/>
          <w:sz w:val="20"/>
          <w:szCs w:val="20"/>
        </w:rPr>
        <w:t>d</w:t>
      </w:r>
      <w:r w:rsidRPr="00062D69">
        <w:rPr>
          <w:rFonts w:ascii="Neo Sans Pro" w:hAnsi="Neo Sans Pro" w:cs="Arial"/>
          <w:sz w:val="20"/>
          <w:szCs w:val="20"/>
        </w:rPr>
        <w:t>isposición mediante la cual se establecen los ingresos autorizados para el ejercicio fiscal correspondiente al año 2024, especificando los diferentes rubros que integran la Hacienda Pública del Municipio de Úrsulo Galván, derivados de los diversos arbitrios que la conforman.</w:t>
      </w:r>
    </w:p>
    <w:p w14:paraId="6F37C5F6" w14:textId="77777777" w:rsidR="00062D69" w:rsidRDefault="00062D69" w:rsidP="00062D69">
      <w:pPr>
        <w:pStyle w:val="Prrafodelista"/>
        <w:jc w:val="both"/>
        <w:rPr>
          <w:rFonts w:ascii="Neo Sans Pro" w:hAnsi="Neo Sans Pro" w:cs="Arial"/>
          <w:sz w:val="20"/>
          <w:szCs w:val="20"/>
        </w:rPr>
      </w:pPr>
    </w:p>
    <w:p w14:paraId="5C9C308B" w14:textId="77777777" w:rsidR="00062D69" w:rsidRPr="00062D69" w:rsidRDefault="00062D69" w:rsidP="00062D69">
      <w:pPr>
        <w:pStyle w:val="Prrafodelista"/>
        <w:jc w:val="both"/>
        <w:rPr>
          <w:rFonts w:ascii="Neo Sans Pro" w:hAnsi="Neo Sans Pro" w:cs="Arial"/>
          <w:sz w:val="20"/>
          <w:szCs w:val="20"/>
        </w:rPr>
      </w:pPr>
    </w:p>
    <w:p w14:paraId="11C90502" w14:textId="77777777" w:rsidR="00580787" w:rsidRPr="000F7E00" w:rsidRDefault="00580787" w:rsidP="00580787">
      <w:pPr>
        <w:jc w:val="both"/>
        <w:rPr>
          <w:rFonts w:ascii="Neo Sans Pro" w:hAnsi="Neo Sans Pro" w:cs="Arial"/>
          <w:b/>
          <w:bCs/>
          <w:sz w:val="20"/>
          <w:szCs w:val="20"/>
        </w:rPr>
      </w:pPr>
      <w:r w:rsidRPr="000F7E00">
        <w:rPr>
          <w:rFonts w:ascii="Neo Sans Pro" w:hAnsi="Neo Sans Pro" w:cs="Arial"/>
          <w:b/>
          <w:bCs/>
          <w:sz w:val="20"/>
          <w:szCs w:val="20"/>
        </w:rPr>
        <w:t xml:space="preserve">2. La determinación del consumo de agua se realiza mediante: </w:t>
      </w:r>
    </w:p>
    <w:p w14:paraId="67D1D7B8" w14:textId="77777777" w:rsidR="00580787" w:rsidRPr="00FE2459" w:rsidRDefault="00580787" w:rsidP="00580787">
      <w:pPr>
        <w:jc w:val="both"/>
        <w:rPr>
          <w:rFonts w:ascii="Neo Sans Pro" w:hAnsi="Neo Sans Pro" w:cs="Arial"/>
          <w:sz w:val="20"/>
          <w:szCs w:val="20"/>
        </w:rPr>
      </w:pPr>
    </w:p>
    <w:p w14:paraId="784D9E4F" w14:textId="77777777" w:rsidR="00580787" w:rsidRPr="00FE2459" w:rsidDel="009A1D38" w:rsidRDefault="00580787" w:rsidP="00580787">
      <w:pPr>
        <w:jc w:val="both"/>
        <w:rPr>
          <w:rFonts w:ascii="Neo Sans Pro" w:hAnsi="Neo Sans Pro" w:cs="Arial"/>
          <w:sz w:val="20"/>
          <w:szCs w:val="20"/>
        </w:rPr>
      </w:pPr>
      <w:r w:rsidRPr="00FE2459">
        <w:rPr>
          <w:rFonts w:ascii="Neo Sans Pro" w:hAnsi="Neo Sans Pro" w:cs="Arial"/>
          <w:sz w:val="20"/>
          <w:szCs w:val="20"/>
        </w:rPr>
        <w:t xml:space="preserve">                      </w:t>
      </w:r>
      <w:bookmarkStart w:id="0" w:name="_MON_1422439410"/>
      <w:bookmarkEnd w:id="0"/>
    </w:p>
    <w:tbl>
      <w:tblPr>
        <w:tblW w:w="5000" w:type="pct"/>
        <w:jc w:val="center"/>
        <w:tblCellMar>
          <w:left w:w="70" w:type="dxa"/>
          <w:right w:w="70" w:type="dxa"/>
        </w:tblCellMar>
        <w:tblLook w:val="04A0" w:firstRow="1" w:lastRow="0" w:firstColumn="1" w:lastColumn="0" w:noHBand="0" w:noVBand="1"/>
      </w:tblPr>
      <w:tblGrid>
        <w:gridCol w:w="3718"/>
        <w:gridCol w:w="2364"/>
        <w:gridCol w:w="2746"/>
      </w:tblGrid>
      <w:tr w:rsidR="00580787" w:rsidRPr="00FE2459" w14:paraId="10558F02" w14:textId="77777777" w:rsidTr="003B60BF">
        <w:trPr>
          <w:trHeight w:val="413"/>
          <w:jc w:val="center"/>
        </w:trPr>
        <w:tc>
          <w:tcPr>
            <w:tcW w:w="210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4BF2F30"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Concepto</w:t>
            </w:r>
          </w:p>
        </w:tc>
        <w:tc>
          <w:tcPr>
            <w:tcW w:w="1339" w:type="pct"/>
            <w:tcBorders>
              <w:top w:val="single" w:sz="4" w:space="0" w:color="auto"/>
              <w:left w:val="nil"/>
              <w:bottom w:val="single" w:sz="4" w:space="0" w:color="auto"/>
              <w:right w:val="single" w:sz="4" w:space="0" w:color="auto"/>
            </w:tcBorders>
            <w:shd w:val="clear" w:color="000000" w:fill="A6A6A6"/>
            <w:noWrap/>
            <w:vAlign w:val="center"/>
            <w:hideMark/>
          </w:tcPr>
          <w:p w14:paraId="45823342"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No. Tomas</w:t>
            </w:r>
          </w:p>
        </w:tc>
        <w:tc>
          <w:tcPr>
            <w:tcW w:w="1555" w:type="pct"/>
            <w:tcBorders>
              <w:top w:val="single" w:sz="4" w:space="0" w:color="auto"/>
              <w:left w:val="nil"/>
              <w:bottom w:val="single" w:sz="4" w:space="0" w:color="auto"/>
              <w:right w:val="single" w:sz="4" w:space="0" w:color="auto"/>
            </w:tcBorders>
            <w:shd w:val="clear" w:color="000000" w:fill="A6A6A6"/>
            <w:noWrap/>
            <w:vAlign w:val="center"/>
            <w:hideMark/>
          </w:tcPr>
          <w:p w14:paraId="2EF53741"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 Recaudación</w:t>
            </w:r>
          </w:p>
        </w:tc>
      </w:tr>
      <w:tr w:rsidR="00580787" w:rsidRPr="00FE2459" w14:paraId="1BB6D86E" w14:textId="77777777" w:rsidTr="003B60BF">
        <w:trPr>
          <w:trHeight w:val="260"/>
          <w:jc w:val="center"/>
        </w:trPr>
        <w:tc>
          <w:tcPr>
            <w:tcW w:w="2106" w:type="pct"/>
            <w:tcBorders>
              <w:top w:val="nil"/>
              <w:left w:val="single" w:sz="4" w:space="0" w:color="auto"/>
              <w:bottom w:val="single" w:sz="4" w:space="0" w:color="auto"/>
              <w:right w:val="single" w:sz="4" w:space="0" w:color="auto"/>
            </w:tcBorders>
            <w:shd w:val="clear" w:color="auto" w:fill="auto"/>
            <w:noWrap/>
            <w:vAlign w:val="bottom"/>
            <w:hideMark/>
          </w:tcPr>
          <w:p w14:paraId="3D5C03C3"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A. Número total</w:t>
            </w:r>
          </w:p>
        </w:tc>
        <w:tc>
          <w:tcPr>
            <w:tcW w:w="1339" w:type="pct"/>
            <w:tcBorders>
              <w:top w:val="nil"/>
              <w:left w:val="nil"/>
              <w:bottom w:val="single" w:sz="4" w:space="0" w:color="auto"/>
              <w:right w:val="single" w:sz="4" w:space="0" w:color="auto"/>
            </w:tcBorders>
            <w:shd w:val="clear" w:color="auto" w:fill="auto"/>
            <w:noWrap/>
            <w:vAlign w:val="bottom"/>
            <w:hideMark/>
          </w:tcPr>
          <w:p w14:paraId="0E0926FC" w14:textId="458CF4EE" w:rsidR="00580787" w:rsidRPr="00FE2459" w:rsidRDefault="00D174C6" w:rsidP="00CA25C8">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8,095</w:t>
            </w:r>
          </w:p>
        </w:tc>
        <w:tc>
          <w:tcPr>
            <w:tcW w:w="1555" w:type="pct"/>
            <w:tcBorders>
              <w:top w:val="nil"/>
              <w:left w:val="nil"/>
              <w:bottom w:val="single" w:sz="4" w:space="0" w:color="auto"/>
              <w:right w:val="single" w:sz="4" w:space="0" w:color="auto"/>
            </w:tcBorders>
            <w:shd w:val="clear" w:color="auto" w:fill="auto"/>
            <w:noWrap/>
            <w:vAlign w:val="bottom"/>
            <w:hideMark/>
          </w:tcPr>
          <w:p w14:paraId="10294E8B" w14:textId="49D6D76F" w:rsidR="00580787" w:rsidRPr="00FE2459" w:rsidRDefault="00CA25C8" w:rsidP="00CA25C8">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100.00</w:t>
            </w:r>
          </w:p>
        </w:tc>
      </w:tr>
      <w:tr w:rsidR="00580787" w:rsidRPr="00FE2459" w14:paraId="7D1074AD" w14:textId="77777777" w:rsidTr="003B60BF">
        <w:trPr>
          <w:trHeight w:val="260"/>
          <w:jc w:val="center"/>
        </w:trPr>
        <w:tc>
          <w:tcPr>
            <w:tcW w:w="2106" w:type="pct"/>
            <w:tcBorders>
              <w:top w:val="nil"/>
              <w:left w:val="single" w:sz="4" w:space="0" w:color="auto"/>
              <w:bottom w:val="single" w:sz="4" w:space="0" w:color="auto"/>
              <w:right w:val="single" w:sz="4" w:space="0" w:color="auto"/>
            </w:tcBorders>
            <w:shd w:val="clear" w:color="auto" w:fill="auto"/>
            <w:noWrap/>
            <w:vAlign w:val="bottom"/>
            <w:hideMark/>
          </w:tcPr>
          <w:p w14:paraId="5099B4B3"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B. Aparato medidor</w:t>
            </w:r>
          </w:p>
        </w:tc>
        <w:tc>
          <w:tcPr>
            <w:tcW w:w="1339" w:type="pct"/>
            <w:tcBorders>
              <w:top w:val="nil"/>
              <w:left w:val="nil"/>
              <w:bottom w:val="single" w:sz="4" w:space="0" w:color="auto"/>
              <w:right w:val="single" w:sz="4" w:space="0" w:color="auto"/>
            </w:tcBorders>
            <w:shd w:val="clear" w:color="auto" w:fill="auto"/>
            <w:noWrap/>
            <w:vAlign w:val="bottom"/>
            <w:hideMark/>
          </w:tcPr>
          <w:p w14:paraId="33B60E78" w14:textId="4B9D2933" w:rsidR="00580787" w:rsidRPr="00FE2459" w:rsidRDefault="00D174C6" w:rsidP="00CA25C8">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813</w:t>
            </w:r>
          </w:p>
        </w:tc>
        <w:tc>
          <w:tcPr>
            <w:tcW w:w="1555" w:type="pct"/>
            <w:tcBorders>
              <w:top w:val="nil"/>
              <w:left w:val="nil"/>
              <w:bottom w:val="single" w:sz="4" w:space="0" w:color="auto"/>
              <w:right w:val="single" w:sz="4" w:space="0" w:color="auto"/>
            </w:tcBorders>
            <w:shd w:val="clear" w:color="auto" w:fill="auto"/>
            <w:noWrap/>
            <w:vAlign w:val="bottom"/>
            <w:hideMark/>
          </w:tcPr>
          <w:p w14:paraId="6A55EA75" w14:textId="6A4E61B3" w:rsidR="00580787" w:rsidRPr="00FE2459" w:rsidRDefault="00CA25C8" w:rsidP="00CA25C8">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12.66</w:t>
            </w:r>
          </w:p>
        </w:tc>
      </w:tr>
      <w:tr w:rsidR="00580787" w:rsidRPr="00FE2459" w14:paraId="6F0FE8DA" w14:textId="77777777" w:rsidTr="003B60BF">
        <w:trPr>
          <w:trHeight w:val="260"/>
          <w:jc w:val="center"/>
        </w:trPr>
        <w:tc>
          <w:tcPr>
            <w:tcW w:w="2106" w:type="pct"/>
            <w:tcBorders>
              <w:top w:val="nil"/>
              <w:left w:val="single" w:sz="4" w:space="0" w:color="auto"/>
              <w:bottom w:val="single" w:sz="4" w:space="0" w:color="auto"/>
              <w:right w:val="single" w:sz="4" w:space="0" w:color="auto"/>
            </w:tcBorders>
            <w:shd w:val="clear" w:color="auto" w:fill="auto"/>
            <w:noWrap/>
            <w:vAlign w:val="bottom"/>
            <w:hideMark/>
          </w:tcPr>
          <w:p w14:paraId="7B58F972"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C. Cuota Fija</w:t>
            </w:r>
          </w:p>
        </w:tc>
        <w:tc>
          <w:tcPr>
            <w:tcW w:w="1339" w:type="pct"/>
            <w:tcBorders>
              <w:top w:val="nil"/>
              <w:left w:val="nil"/>
              <w:bottom w:val="single" w:sz="4" w:space="0" w:color="auto"/>
              <w:right w:val="single" w:sz="4" w:space="0" w:color="auto"/>
            </w:tcBorders>
            <w:shd w:val="clear" w:color="auto" w:fill="auto"/>
            <w:noWrap/>
            <w:vAlign w:val="bottom"/>
            <w:hideMark/>
          </w:tcPr>
          <w:p w14:paraId="1F667A22" w14:textId="67426217" w:rsidR="00580787" w:rsidRPr="00FE2459" w:rsidRDefault="00D174C6" w:rsidP="00CA25C8">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7,282</w:t>
            </w:r>
          </w:p>
        </w:tc>
        <w:tc>
          <w:tcPr>
            <w:tcW w:w="1555" w:type="pct"/>
            <w:tcBorders>
              <w:top w:val="nil"/>
              <w:left w:val="nil"/>
              <w:bottom w:val="single" w:sz="4" w:space="0" w:color="auto"/>
              <w:right w:val="single" w:sz="4" w:space="0" w:color="auto"/>
            </w:tcBorders>
            <w:shd w:val="clear" w:color="auto" w:fill="auto"/>
            <w:noWrap/>
            <w:vAlign w:val="bottom"/>
            <w:hideMark/>
          </w:tcPr>
          <w:p w14:paraId="39683D99" w14:textId="5C06F0FC" w:rsidR="00580787" w:rsidRPr="00FE2459" w:rsidRDefault="00CA25C8" w:rsidP="00CA25C8">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87.34</w:t>
            </w:r>
          </w:p>
        </w:tc>
      </w:tr>
      <w:tr w:rsidR="00580787" w:rsidRPr="00FE2459" w14:paraId="6A647C7D" w14:textId="77777777" w:rsidTr="003B60BF">
        <w:trPr>
          <w:trHeight w:val="260"/>
          <w:jc w:val="center"/>
        </w:trPr>
        <w:tc>
          <w:tcPr>
            <w:tcW w:w="2106" w:type="pct"/>
            <w:tcBorders>
              <w:top w:val="nil"/>
              <w:left w:val="single" w:sz="4" w:space="0" w:color="auto"/>
              <w:bottom w:val="single" w:sz="4" w:space="0" w:color="auto"/>
              <w:right w:val="single" w:sz="4" w:space="0" w:color="auto"/>
            </w:tcBorders>
            <w:shd w:val="clear" w:color="auto" w:fill="auto"/>
            <w:noWrap/>
            <w:vAlign w:val="bottom"/>
            <w:hideMark/>
          </w:tcPr>
          <w:p w14:paraId="5064DDF8" w14:textId="75567D1A"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D. </w:t>
            </w:r>
            <w:r w:rsidR="000F7E00" w:rsidRPr="00FE2459">
              <w:rPr>
                <w:rFonts w:ascii="Neo Sans Pro" w:eastAsia="Times New Roman" w:hAnsi="Neo Sans Pro" w:cs="Arial"/>
                <w:color w:val="000000"/>
                <w:sz w:val="20"/>
                <w:szCs w:val="20"/>
                <w:lang w:eastAsia="es-MX"/>
              </w:rPr>
              <w:t>Otra (</w:t>
            </w:r>
            <w:r w:rsidRPr="00FE2459">
              <w:rPr>
                <w:rFonts w:ascii="Neo Sans Pro" w:eastAsia="Times New Roman" w:hAnsi="Neo Sans Pro" w:cs="Arial"/>
                <w:color w:val="000000"/>
                <w:sz w:val="20"/>
                <w:szCs w:val="20"/>
                <w:lang w:eastAsia="es-MX"/>
              </w:rPr>
              <w:t>Especifique)</w:t>
            </w:r>
          </w:p>
        </w:tc>
        <w:tc>
          <w:tcPr>
            <w:tcW w:w="1339" w:type="pct"/>
            <w:tcBorders>
              <w:top w:val="nil"/>
              <w:left w:val="nil"/>
              <w:bottom w:val="single" w:sz="4" w:space="0" w:color="auto"/>
              <w:right w:val="single" w:sz="4" w:space="0" w:color="auto"/>
            </w:tcBorders>
            <w:shd w:val="clear" w:color="auto" w:fill="auto"/>
            <w:noWrap/>
            <w:vAlign w:val="bottom"/>
            <w:hideMark/>
          </w:tcPr>
          <w:p w14:paraId="48A446CA" w14:textId="0D8059CE" w:rsidR="00580787" w:rsidRPr="00FE2459" w:rsidRDefault="00D174C6" w:rsidP="00D174C6">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N/D</w:t>
            </w:r>
          </w:p>
        </w:tc>
        <w:tc>
          <w:tcPr>
            <w:tcW w:w="1555" w:type="pct"/>
            <w:tcBorders>
              <w:top w:val="nil"/>
              <w:left w:val="nil"/>
              <w:bottom w:val="single" w:sz="4" w:space="0" w:color="auto"/>
              <w:right w:val="single" w:sz="4" w:space="0" w:color="auto"/>
            </w:tcBorders>
            <w:shd w:val="clear" w:color="auto" w:fill="auto"/>
            <w:noWrap/>
            <w:vAlign w:val="bottom"/>
            <w:hideMark/>
          </w:tcPr>
          <w:p w14:paraId="613C8919"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bl>
    <w:p w14:paraId="2C08C3A5" w14:textId="77777777" w:rsidR="00580787" w:rsidRPr="00FE2459" w:rsidRDefault="00580787" w:rsidP="00580787">
      <w:pPr>
        <w:jc w:val="both"/>
        <w:rPr>
          <w:rFonts w:ascii="Neo Sans Pro" w:hAnsi="Neo Sans Pro" w:cs="Arial"/>
          <w:sz w:val="20"/>
          <w:szCs w:val="20"/>
        </w:rPr>
      </w:pPr>
    </w:p>
    <w:p w14:paraId="0F70D2E8" w14:textId="77777777" w:rsidR="00CA25C8" w:rsidRPr="00FE2459" w:rsidRDefault="00CA25C8" w:rsidP="00580787">
      <w:pPr>
        <w:jc w:val="both"/>
        <w:rPr>
          <w:rFonts w:ascii="Neo Sans Pro" w:hAnsi="Neo Sans Pro" w:cs="Arial"/>
          <w:sz w:val="20"/>
          <w:szCs w:val="20"/>
        </w:rPr>
      </w:pPr>
    </w:p>
    <w:p w14:paraId="0EA743F1" w14:textId="77777777" w:rsidR="00580787" w:rsidRPr="000F7E00" w:rsidRDefault="00580787" w:rsidP="00580787">
      <w:pPr>
        <w:jc w:val="both"/>
        <w:rPr>
          <w:rFonts w:ascii="Neo Sans Pro" w:hAnsi="Neo Sans Pro" w:cs="Arial"/>
          <w:b/>
          <w:bCs/>
          <w:color w:val="000000"/>
          <w:sz w:val="20"/>
          <w:szCs w:val="20"/>
        </w:rPr>
      </w:pPr>
      <w:r w:rsidRPr="000F7E00">
        <w:rPr>
          <w:rFonts w:ascii="Neo Sans Pro" w:hAnsi="Neo Sans Pro" w:cs="Arial"/>
          <w:b/>
          <w:bCs/>
          <w:color w:val="000000"/>
          <w:sz w:val="20"/>
          <w:szCs w:val="20"/>
        </w:rPr>
        <w:t>3. En caso de que exista un costo diferencial en función de la cantidad de metros cúbicos consumidos, especifique éstos y señale la recaudación que se obtiene por cada uno de ellos.</w:t>
      </w:r>
    </w:p>
    <w:p w14:paraId="41E62EEC" w14:textId="77777777" w:rsidR="00580787" w:rsidRPr="00FE2459" w:rsidRDefault="00580787" w:rsidP="00580787">
      <w:pPr>
        <w:jc w:val="both"/>
        <w:rPr>
          <w:rFonts w:ascii="Neo Sans Pro" w:hAnsi="Neo Sans Pro" w:cs="Arial"/>
          <w:sz w:val="20"/>
          <w:szCs w:val="20"/>
        </w:rPr>
      </w:pPr>
    </w:p>
    <w:p w14:paraId="36A2DA51" w14:textId="77777777" w:rsidR="00580787" w:rsidRPr="00FE2459" w:rsidRDefault="00580787" w:rsidP="00580787">
      <w:pPr>
        <w:jc w:val="both"/>
        <w:rPr>
          <w:rFonts w:ascii="Neo Sans Pro" w:hAnsi="Neo Sans Pro" w:cs="Arial"/>
          <w:sz w:val="20"/>
          <w:szCs w:val="20"/>
        </w:rPr>
      </w:pPr>
    </w:p>
    <w:tbl>
      <w:tblPr>
        <w:tblW w:w="5000" w:type="pct"/>
        <w:jc w:val="center"/>
        <w:tblCellMar>
          <w:left w:w="70" w:type="dxa"/>
          <w:right w:w="70" w:type="dxa"/>
        </w:tblCellMar>
        <w:tblLook w:val="04A0" w:firstRow="1" w:lastRow="0" w:firstColumn="1" w:lastColumn="0" w:noHBand="0" w:noVBand="1"/>
      </w:tblPr>
      <w:tblGrid>
        <w:gridCol w:w="3554"/>
        <w:gridCol w:w="2276"/>
        <w:gridCol w:w="2998"/>
      </w:tblGrid>
      <w:tr w:rsidR="00580787" w:rsidRPr="00FE2459" w14:paraId="655632F3" w14:textId="77777777" w:rsidTr="003B60BF">
        <w:trPr>
          <w:trHeight w:val="731"/>
          <w:jc w:val="center"/>
        </w:trPr>
        <w:tc>
          <w:tcPr>
            <w:tcW w:w="2013"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209E3350"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 xml:space="preserve">Municipio </w:t>
            </w:r>
          </w:p>
        </w:tc>
        <w:tc>
          <w:tcPr>
            <w:tcW w:w="1289" w:type="pct"/>
            <w:tcBorders>
              <w:top w:val="single" w:sz="4" w:space="0" w:color="auto"/>
              <w:left w:val="nil"/>
              <w:bottom w:val="single" w:sz="4" w:space="0" w:color="auto"/>
              <w:right w:val="single" w:sz="4" w:space="0" w:color="auto"/>
            </w:tcBorders>
            <w:shd w:val="clear" w:color="000000" w:fill="A6A6A6"/>
            <w:vAlign w:val="center"/>
            <w:hideMark/>
          </w:tcPr>
          <w:p w14:paraId="70234E64"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Consumo metros cúbicos (ejem.)</w:t>
            </w:r>
          </w:p>
        </w:tc>
        <w:tc>
          <w:tcPr>
            <w:tcW w:w="1698" w:type="pct"/>
            <w:tcBorders>
              <w:top w:val="single" w:sz="4" w:space="0" w:color="auto"/>
              <w:left w:val="nil"/>
              <w:bottom w:val="single" w:sz="4" w:space="0" w:color="auto"/>
              <w:right w:val="single" w:sz="4" w:space="0" w:color="auto"/>
            </w:tcBorders>
            <w:shd w:val="clear" w:color="000000" w:fill="A6A6A6"/>
            <w:vAlign w:val="center"/>
            <w:hideMark/>
          </w:tcPr>
          <w:p w14:paraId="1583335D"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Recaudación</w:t>
            </w:r>
          </w:p>
        </w:tc>
      </w:tr>
      <w:tr w:rsidR="00580787" w:rsidRPr="00FE2459" w14:paraId="396F5B34" w14:textId="77777777" w:rsidTr="003B60BF">
        <w:trPr>
          <w:trHeight w:val="300"/>
          <w:jc w:val="center"/>
        </w:trPr>
        <w:tc>
          <w:tcPr>
            <w:tcW w:w="2013" w:type="pct"/>
            <w:tcBorders>
              <w:top w:val="nil"/>
              <w:left w:val="single" w:sz="4" w:space="0" w:color="auto"/>
              <w:bottom w:val="single" w:sz="4" w:space="0" w:color="auto"/>
              <w:right w:val="single" w:sz="4" w:space="0" w:color="auto"/>
            </w:tcBorders>
            <w:shd w:val="clear" w:color="auto" w:fill="auto"/>
            <w:vAlign w:val="bottom"/>
            <w:hideMark/>
          </w:tcPr>
          <w:p w14:paraId="36ED8F03" w14:textId="4F30FDE2" w:rsidR="00580787" w:rsidRPr="00FE2459" w:rsidRDefault="00D174C6"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Úrsulo Galván </w:t>
            </w:r>
          </w:p>
        </w:tc>
        <w:tc>
          <w:tcPr>
            <w:tcW w:w="1289" w:type="pct"/>
            <w:tcBorders>
              <w:top w:val="nil"/>
              <w:left w:val="nil"/>
              <w:bottom w:val="single" w:sz="4" w:space="0" w:color="auto"/>
              <w:right w:val="single" w:sz="4" w:space="0" w:color="auto"/>
            </w:tcBorders>
            <w:shd w:val="clear" w:color="auto" w:fill="auto"/>
            <w:vAlign w:val="center"/>
            <w:hideMark/>
          </w:tcPr>
          <w:p w14:paraId="52942DCC" w14:textId="77777777" w:rsidR="00580787" w:rsidRPr="00FE2459" w:rsidRDefault="0058078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0-50</w:t>
            </w:r>
          </w:p>
        </w:tc>
        <w:tc>
          <w:tcPr>
            <w:tcW w:w="1698" w:type="pct"/>
            <w:tcBorders>
              <w:top w:val="nil"/>
              <w:left w:val="nil"/>
              <w:bottom w:val="single" w:sz="4" w:space="0" w:color="auto"/>
              <w:right w:val="single" w:sz="4" w:space="0" w:color="auto"/>
            </w:tcBorders>
            <w:shd w:val="clear" w:color="auto" w:fill="auto"/>
            <w:vAlign w:val="bottom"/>
            <w:hideMark/>
          </w:tcPr>
          <w:p w14:paraId="19ADBE6F" w14:textId="2A33C24C" w:rsidR="00580787" w:rsidRPr="00FE2459" w:rsidRDefault="00580787" w:rsidP="008B661D">
            <w:pPr>
              <w:ind w:right="0"/>
              <w:jc w:val="righ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r w:rsidR="0089104A">
              <w:rPr>
                <w:rFonts w:ascii="Neo Sans Pro" w:eastAsia="Times New Roman" w:hAnsi="Neo Sans Pro" w:cs="Arial"/>
                <w:color w:val="000000"/>
                <w:sz w:val="20"/>
                <w:szCs w:val="20"/>
                <w:lang w:eastAsia="es-MX"/>
              </w:rPr>
              <w:t>$</w:t>
            </w:r>
            <w:r w:rsidR="008B661D">
              <w:rPr>
                <w:rFonts w:ascii="Neo Sans Pro" w:eastAsia="Times New Roman" w:hAnsi="Neo Sans Pro" w:cs="Arial"/>
                <w:color w:val="000000"/>
                <w:sz w:val="20"/>
                <w:szCs w:val="20"/>
                <w:lang w:eastAsia="es-MX"/>
              </w:rPr>
              <w:t xml:space="preserve"> </w:t>
            </w:r>
            <w:r w:rsidR="0089104A">
              <w:rPr>
                <w:rFonts w:ascii="Neo Sans Pro" w:eastAsia="Times New Roman" w:hAnsi="Neo Sans Pro" w:cs="Arial"/>
                <w:color w:val="000000"/>
                <w:sz w:val="20"/>
                <w:szCs w:val="20"/>
                <w:lang w:eastAsia="es-MX"/>
              </w:rPr>
              <w:t>8,516,679.15</w:t>
            </w:r>
          </w:p>
        </w:tc>
      </w:tr>
      <w:tr w:rsidR="00D174C6" w:rsidRPr="00FE2459" w14:paraId="35470EBF" w14:textId="77777777" w:rsidTr="003B60BF">
        <w:trPr>
          <w:trHeight w:val="300"/>
          <w:jc w:val="center"/>
        </w:trPr>
        <w:tc>
          <w:tcPr>
            <w:tcW w:w="2013" w:type="pct"/>
            <w:tcBorders>
              <w:top w:val="nil"/>
              <w:left w:val="single" w:sz="4" w:space="0" w:color="auto"/>
              <w:bottom w:val="single" w:sz="4" w:space="0" w:color="auto"/>
              <w:right w:val="single" w:sz="4" w:space="0" w:color="auto"/>
            </w:tcBorders>
            <w:shd w:val="clear" w:color="auto" w:fill="auto"/>
            <w:hideMark/>
          </w:tcPr>
          <w:p w14:paraId="000A9A2F" w14:textId="1CBF7FA7" w:rsidR="00D174C6" w:rsidRPr="00FE2459" w:rsidRDefault="00D174C6" w:rsidP="00D174C6">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Úrsulo Galván </w:t>
            </w:r>
          </w:p>
        </w:tc>
        <w:tc>
          <w:tcPr>
            <w:tcW w:w="1289" w:type="pct"/>
            <w:tcBorders>
              <w:top w:val="nil"/>
              <w:left w:val="nil"/>
              <w:bottom w:val="single" w:sz="4" w:space="0" w:color="auto"/>
              <w:right w:val="single" w:sz="4" w:space="0" w:color="auto"/>
            </w:tcBorders>
            <w:shd w:val="clear" w:color="auto" w:fill="auto"/>
            <w:vAlign w:val="center"/>
            <w:hideMark/>
          </w:tcPr>
          <w:p w14:paraId="31C9AAB5" w14:textId="77777777" w:rsidR="00D174C6" w:rsidRPr="00FE2459" w:rsidRDefault="00D174C6" w:rsidP="00D174C6">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50.1-100</w:t>
            </w:r>
          </w:p>
        </w:tc>
        <w:tc>
          <w:tcPr>
            <w:tcW w:w="1698" w:type="pct"/>
            <w:tcBorders>
              <w:top w:val="nil"/>
              <w:left w:val="nil"/>
              <w:bottom w:val="single" w:sz="4" w:space="0" w:color="auto"/>
              <w:right w:val="single" w:sz="4" w:space="0" w:color="auto"/>
            </w:tcBorders>
            <w:shd w:val="clear" w:color="auto" w:fill="auto"/>
            <w:vAlign w:val="bottom"/>
            <w:hideMark/>
          </w:tcPr>
          <w:p w14:paraId="20A6ACFC" w14:textId="1EB19E5A" w:rsidR="00D174C6" w:rsidRPr="00FE2459" w:rsidRDefault="00D174C6" w:rsidP="008B661D">
            <w:pPr>
              <w:ind w:right="0"/>
              <w:jc w:val="righ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r w:rsidR="008B661D">
              <w:rPr>
                <w:rFonts w:ascii="Neo Sans Pro" w:eastAsia="Times New Roman" w:hAnsi="Neo Sans Pro" w:cs="Arial"/>
                <w:color w:val="000000"/>
                <w:sz w:val="20"/>
                <w:szCs w:val="20"/>
                <w:lang w:eastAsia="es-MX"/>
              </w:rPr>
              <w:t>$       35,398.96</w:t>
            </w:r>
          </w:p>
        </w:tc>
      </w:tr>
      <w:tr w:rsidR="00D174C6" w:rsidRPr="00FE2459" w14:paraId="333F7E21" w14:textId="77777777" w:rsidTr="003B60BF">
        <w:trPr>
          <w:trHeight w:val="300"/>
          <w:jc w:val="center"/>
        </w:trPr>
        <w:tc>
          <w:tcPr>
            <w:tcW w:w="2013" w:type="pct"/>
            <w:tcBorders>
              <w:top w:val="nil"/>
              <w:left w:val="single" w:sz="4" w:space="0" w:color="auto"/>
              <w:bottom w:val="single" w:sz="4" w:space="0" w:color="auto"/>
              <w:right w:val="single" w:sz="4" w:space="0" w:color="auto"/>
            </w:tcBorders>
            <w:shd w:val="clear" w:color="auto" w:fill="auto"/>
            <w:hideMark/>
          </w:tcPr>
          <w:p w14:paraId="020D8F01" w14:textId="471BB39F" w:rsidR="00D174C6" w:rsidRPr="00FE2459" w:rsidRDefault="00D174C6" w:rsidP="00D174C6">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Úrsulo Galván </w:t>
            </w:r>
          </w:p>
        </w:tc>
        <w:tc>
          <w:tcPr>
            <w:tcW w:w="1289" w:type="pct"/>
            <w:tcBorders>
              <w:top w:val="nil"/>
              <w:left w:val="nil"/>
              <w:bottom w:val="single" w:sz="4" w:space="0" w:color="auto"/>
              <w:right w:val="single" w:sz="4" w:space="0" w:color="auto"/>
            </w:tcBorders>
            <w:shd w:val="clear" w:color="auto" w:fill="auto"/>
            <w:vAlign w:val="center"/>
            <w:hideMark/>
          </w:tcPr>
          <w:p w14:paraId="5D33D621" w14:textId="77777777" w:rsidR="00D174C6" w:rsidRPr="00FE2459" w:rsidRDefault="00D174C6" w:rsidP="00D174C6">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100.1-x</w:t>
            </w:r>
          </w:p>
        </w:tc>
        <w:tc>
          <w:tcPr>
            <w:tcW w:w="1698" w:type="pct"/>
            <w:tcBorders>
              <w:top w:val="nil"/>
              <w:left w:val="nil"/>
              <w:bottom w:val="single" w:sz="4" w:space="0" w:color="auto"/>
              <w:right w:val="single" w:sz="4" w:space="0" w:color="auto"/>
            </w:tcBorders>
            <w:shd w:val="clear" w:color="auto" w:fill="auto"/>
            <w:vAlign w:val="bottom"/>
            <w:hideMark/>
          </w:tcPr>
          <w:p w14:paraId="28AA95BF" w14:textId="613858E9" w:rsidR="00D174C6" w:rsidRPr="00FE2459" w:rsidRDefault="00D174C6" w:rsidP="008B661D">
            <w:pPr>
              <w:ind w:right="0"/>
              <w:jc w:val="righ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r w:rsidR="008B661D">
              <w:rPr>
                <w:rFonts w:ascii="Neo Sans Pro" w:eastAsia="Times New Roman" w:hAnsi="Neo Sans Pro" w:cs="Arial"/>
                <w:color w:val="000000"/>
                <w:sz w:val="20"/>
                <w:szCs w:val="20"/>
                <w:lang w:eastAsia="es-MX"/>
              </w:rPr>
              <w:t>$    131,448.01</w:t>
            </w:r>
          </w:p>
        </w:tc>
      </w:tr>
      <w:tr w:rsidR="00580787" w:rsidRPr="000F7E00" w14:paraId="2CF312AD" w14:textId="77777777" w:rsidTr="003B60BF">
        <w:trPr>
          <w:trHeight w:val="300"/>
          <w:jc w:val="center"/>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25D6853E" w14:textId="77777777" w:rsidR="00580787" w:rsidRPr="000F7E00" w:rsidRDefault="00580787" w:rsidP="004740DC">
            <w:pPr>
              <w:ind w:right="0"/>
              <w:jc w:val="left"/>
              <w:rPr>
                <w:rFonts w:ascii="Neo Sans Pro" w:eastAsia="Times New Roman" w:hAnsi="Neo Sans Pro" w:cs="Arial"/>
                <w:b/>
                <w:bCs/>
                <w:color w:val="000000"/>
                <w:sz w:val="20"/>
                <w:szCs w:val="20"/>
                <w:lang w:eastAsia="es-MX"/>
              </w:rPr>
            </w:pPr>
            <w:r w:rsidRPr="000F7E00">
              <w:rPr>
                <w:rFonts w:ascii="Neo Sans Pro" w:eastAsia="Times New Roman" w:hAnsi="Neo Sans Pro" w:cs="Arial"/>
                <w:b/>
                <w:bCs/>
                <w:color w:val="000000"/>
                <w:sz w:val="20"/>
                <w:szCs w:val="20"/>
                <w:lang w:eastAsia="es-MX"/>
              </w:rPr>
              <w:t> </w:t>
            </w:r>
          </w:p>
        </w:tc>
        <w:tc>
          <w:tcPr>
            <w:tcW w:w="1289" w:type="pct"/>
            <w:tcBorders>
              <w:top w:val="nil"/>
              <w:left w:val="nil"/>
              <w:bottom w:val="single" w:sz="4" w:space="0" w:color="auto"/>
              <w:right w:val="single" w:sz="4" w:space="0" w:color="auto"/>
            </w:tcBorders>
            <w:shd w:val="clear" w:color="auto" w:fill="auto"/>
            <w:vAlign w:val="center"/>
            <w:hideMark/>
          </w:tcPr>
          <w:p w14:paraId="31C2596A" w14:textId="2DC9578F" w:rsidR="00580787" w:rsidRPr="000F7E00" w:rsidRDefault="008B661D" w:rsidP="004740DC">
            <w:pPr>
              <w:ind w:right="0"/>
              <w:rPr>
                <w:rFonts w:ascii="Neo Sans Pro" w:eastAsia="Times New Roman" w:hAnsi="Neo Sans Pro" w:cs="Arial"/>
                <w:b/>
                <w:bCs/>
                <w:color w:val="000000"/>
                <w:sz w:val="20"/>
                <w:szCs w:val="20"/>
                <w:lang w:eastAsia="es-MX"/>
              </w:rPr>
            </w:pPr>
            <w:r w:rsidRPr="000F7E00">
              <w:rPr>
                <w:rFonts w:ascii="Neo Sans Pro" w:eastAsia="Times New Roman" w:hAnsi="Neo Sans Pro" w:cs="Arial"/>
                <w:b/>
                <w:bCs/>
                <w:color w:val="000000"/>
                <w:sz w:val="20"/>
                <w:szCs w:val="20"/>
                <w:lang w:eastAsia="es-MX"/>
              </w:rPr>
              <w:t>Total</w:t>
            </w:r>
          </w:p>
        </w:tc>
        <w:tc>
          <w:tcPr>
            <w:tcW w:w="1698" w:type="pct"/>
            <w:tcBorders>
              <w:top w:val="nil"/>
              <w:left w:val="nil"/>
              <w:bottom w:val="single" w:sz="4" w:space="0" w:color="auto"/>
              <w:right w:val="single" w:sz="4" w:space="0" w:color="auto"/>
            </w:tcBorders>
            <w:shd w:val="clear" w:color="auto" w:fill="auto"/>
            <w:noWrap/>
            <w:vAlign w:val="bottom"/>
            <w:hideMark/>
          </w:tcPr>
          <w:p w14:paraId="07ED12B3" w14:textId="49B7C600" w:rsidR="00580787" w:rsidRPr="000F7E00" w:rsidRDefault="00580787" w:rsidP="008B661D">
            <w:pPr>
              <w:ind w:right="0"/>
              <w:jc w:val="right"/>
              <w:rPr>
                <w:rFonts w:ascii="Neo Sans Pro" w:eastAsia="Times New Roman" w:hAnsi="Neo Sans Pro" w:cs="Arial"/>
                <w:b/>
                <w:bCs/>
                <w:color w:val="000000"/>
                <w:sz w:val="20"/>
                <w:szCs w:val="20"/>
                <w:lang w:eastAsia="es-MX"/>
              </w:rPr>
            </w:pPr>
            <w:r w:rsidRPr="000F7E00">
              <w:rPr>
                <w:rFonts w:ascii="Neo Sans Pro" w:eastAsia="Times New Roman" w:hAnsi="Neo Sans Pro" w:cs="Arial"/>
                <w:b/>
                <w:bCs/>
                <w:color w:val="000000"/>
                <w:sz w:val="20"/>
                <w:szCs w:val="20"/>
                <w:lang w:eastAsia="es-MX"/>
              </w:rPr>
              <w:t> </w:t>
            </w:r>
            <w:r w:rsidR="008B661D" w:rsidRPr="000F7E00">
              <w:rPr>
                <w:rFonts w:ascii="Neo Sans Pro" w:eastAsia="Times New Roman" w:hAnsi="Neo Sans Pro" w:cs="Arial"/>
                <w:b/>
                <w:bCs/>
                <w:color w:val="000000"/>
                <w:sz w:val="20"/>
                <w:szCs w:val="20"/>
                <w:lang w:eastAsia="es-MX"/>
              </w:rPr>
              <w:t>$ 8’683,526.12</w:t>
            </w:r>
          </w:p>
        </w:tc>
      </w:tr>
    </w:tbl>
    <w:p w14:paraId="544785D0" w14:textId="77777777" w:rsidR="00FE054A" w:rsidRDefault="00FE054A" w:rsidP="00580787">
      <w:pPr>
        <w:jc w:val="both"/>
        <w:rPr>
          <w:rFonts w:ascii="Neo Sans Pro" w:hAnsi="Neo Sans Pro" w:cs="Arial"/>
          <w:sz w:val="20"/>
          <w:szCs w:val="20"/>
        </w:rPr>
      </w:pPr>
    </w:p>
    <w:p w14:paraId="6714BDFC" w14:textId="46EC9481" w:rsidR="00580787" w:rsidRPr="00FE2459" w:rsidRDefault="00C7249B" w:rsidP="00580787">
      <w:pPr>
        <w:jc w:val="both"/>
        <w:rPr>
          <w:rFonts w:ascii="Neo Sans Pro" w:hAnsi="Neo Sans Pro" w:cs="Arial"/>
          <w:sz w:val="20"/>
          <w:szCs w:val="20"/>
        </w:rPr>
      </w:pPr>
      <w:r>
        <w:rPr>
          <w:rFonts w:ascii="Neo Sans Pro" w:hAnsi="Neo Sans Pro" w:cs="Arial"/>
          <w:sz w:val="20"/>
          <w:szCs w:val="20"/>
        </w:rPr>
        <w:lastRenderedPageBreak/>
        <w:t>En la t</w:t>
      </w:r>
      <w:r w:rsidR="00CA25C8" w:rsidRPr="00FE2459">
        <w:rPr>
          <w:rFonts w:ascii="Neo Sans Pro" w:hAnsi="Neo Sans Pro" w:cs="Arial"/>
          <w:sz w:val="20"/>
          <w:szCs w:val="20"/>
        </w:rPr>
        <w:t xml:space="preserve">abla de tarifas </w:t>
      </w:r>
      <w:r w:rsidR="00FE054A">
        <w:rPr>
          <w:rFonts w:ascii="Neo Sans Pro" w:hAnsi="Neo Sans Pro" w:cs="Arial"/>
          <w:sz w:val="20"/>
          <w:szCs w:val="20"/>
        </w:rPr>
        <w:t xml:space="preserve">del numeral 9 de este cuestionario se establecen el consumo por </w:t>
      </w:r>
      <w:r w:rsidR="00CA25C8" w:rsidRPr="00FE2459">
        <w:rPr>
          <w:rFonts w:ascii="Neo Sans Pro" w:hAnsi="Neo Sans Pro" w:cs="Arial"/>
          <w:sz w:val="20"/>
          <w:szCs w:val="20"/>
        </w:rPr>
        <w:t xml:space="preserve">tipo de </w:t>
      </w:r>
      <w:r w:rsidR="0066405E" w:rsidRPr="00FE2459">
        <w:rPr>
          <w:rFonts w:ascii="Neo Sans Pro" w:hAnsi="Neo Sans Pro" w:cs="Arial"/>
          <w:sz w:val="20"/>
          <w:szCs w:val="20"/>
        </w:rPr>
        <w:t xml:space="preserve">usuario toda vez que la mayoría de </w:t>
      </w:r>
      <w:r w:rsidR="00FE054A" w:rsidRPr="00FE2459">
        <w:rPr>
          <w:rFonts w:ascii="Neo Sans Pro" w:hAnsi="Neo Sans Pro" w:cs="Arial"/>
          <w:sz w:val="20"/>
          <w:szCs w:val="20"/>
        </w:rPr>
        <w:t>los usuarios</w:t>
      </w:r>
      <w:r w:rsidR="0066405E" w:rsidRPr="00FE2459">
        <w:rPr>
          <w:rFonts w:ascii="Neo Sans Pro" w:hAnsi="Neo Sans Pro" w:cs="Arial"/>
          <w:sz w:val="20"/>
          <w:szCs w:val="20"/>
        </w:rPr>
        <w:t xml:space="preserve"> no cuenta con servicio medido, tal como se puede apreciar en </w:t>
      </w:r>
      <w:r w:rsidR="000F7E00">
        <w:rPr>
          <w:rFonts w:ascii="Neo Sans Pro" w:hAnsi="Neo Sans Pro" w:cs="Arial"/>
          <w:sz w:val="20"/>
          <w:szCs w:val="20"/>
        </w:rPr>
        <w:t xml:space="preserve">dicho </w:t>
      </w:r>
      <w:r w:rsidR="0066405E" w:rsidRPr="00FE2459">
        <w:rPr>
          <w:rFonts w:ascii="Neo Sans Pro" w:hAnsi="Neo Sans Pro" w:cs="Arial"/>
          <w:sz w:val="20"/>
          <w:szCs w:val="20"/>
        </w:rPr>
        <w:t>cuadro</w:t>
      </w:r>
      <w:r w:rsidR="000F7E00">
        <w:rPr>
          <w:rFonts w:ascii="Neo Sans Pro" w:hAnsi="Neo Sans Pro" w:cs="Arial"/>
          <w:sz w:val="20"/>
          <w:szCs w:val="20"/>
        </w:rPr>
        <w:t>.</w:t>
      </w:r>
    </w:p>
    <w:p w14:paraId="2253879C" w14:textId="77777777" w:rsidR="0066405E" w:rsidRPr="00FE2459" w:rsidRDefault="0066405E" w:rsidP="00580787">
      <w:pPr>
        <w:jc w:val="both"/>
        <w:rPr>
          <w:rFonts w:ascii="Neo Sans Pro" w:hAnsi="Neo Sans Pro" w:cs="Arial"/>
          <w:sz w:val="20"/>
          <w:szCs w:val="20"/>
        </w:rPr>
      </w:pPr>
    </w:p>
    <w:p w14:paraId="21C96C01" w14:textId="3709131E" w:rsidR="00580787" w:rsidRPr="000F7E00" w:rsidRDefault="00580787" w:rsidP="00580787">
      <w:pPr>
        <w:jc w:val="both"/>
        <w:rPr>
          <w:rFonts w:ascii="Neo Sans Pro" w:hAnsi="Neo Sans Pro" w:cs="Arial"/>
          <w:b/>
          <w:bCs/>
          <w:sz w:val="20"/>
          <w:szCs w:val="20"/>
        </w:rPr>
      </w:pPr>
      <w:r w:rsidRPr="000F7E00">
        <w:rPr>
          <w:rFonts w:ascii="Neo Sans Pro" w:hAnsi="Neo Sans Pro" w:cs="Arial"/>
          <w:b/>
          <w:bCs/>
          <w:sz w:val="20"/>
          <w:szCs w:val="20"/>
        </w:rPr>
        <w:t>4. De existir diferencia en el cobro entre el servicio de uso doméstico y el no doméstico, indique en qué consiste.</w:t>
      </w:r>
    </w:p>
    <w:p w14:paraId="722F2AD4" w14:textId="77777777" w:rsidR="00D174C6" w:rsidRPr="000F7E00" w:rsidRDefault="00D174C6" w:rsidP="00580787">
      <w:pPr>
        <w:jc w:val="both"/>
        <w:rPr>
          <w:rFonts w:ascii="Neo Sans Pro" w:hAnsi="Neo Sans Pro" w:cs="Arial"/>
          <w:b/>
          <w:bCs/>
          <w:sz w:val="20"/>
          <w:szCs w:val="20"/>
        </w:rPr>
      </w:pPr>
    </w:p>
    <w:p w14:paraId="7EE106DB" w14:textId="2CDD341D" w:rsidR="00D174C6" w:rsidRPr="00FE2459" w:rsidRDefault="00D174C6" w:rsidP="00D174C6">
      <w:pPr>
        <w:jc w:val="both"/>
        <w:rPr>
          <w:rFonts w:ascii="Neo Sans Pro" w:hAnsi="Neo Sans Pro" w:cs="Arial"/>
          <w:sz w:val="20"/>
          <w:szCs w:val="20"/>
        </w:rPr>
      </w:pPr>
      <w:r w:rsidRPr="00FE2459">
        <w:rPr>
          <w:rFonts w:ascii="Neo Sans Pro" w:hAnsi="Neo Sans Pro" w:cs="Arial"/>
          <w:sz w:val="20"/>
          <w:szCs w:val="20"/>
        </w:rPr>
        <w:t>R.- La estructura tarifaria corresponde a clasificar los usuarios en domésticos de cinco tipos, comerciales alto y bajo consumo, industriales y uso público cada uno de ellos con una tarifa diferente y adicionalmente la misma estructura tarifaria establece rangos de consumo que inician de 0 a 10 y terminan de más 151 m</w:t>
      </w:r>
      <w:r w:rsidRPr="00FE2459">
        <w:rPr>
          <w:rFonts w:ascii="Neo Sans Pro" w:hAnsi="Neo Sans Pro" w:cs="Arial"/>
          <w:sz w:val="20"/>
          <w:szCs w:val="20"/>
          <w:vertAlign w:val="superscript"/>
        </w:rPr>
        <w:t xml:space="preserve">3 </w:t>
      </w:r>
      <w:r w:rsidRPr="00FE2459">
        <w:rPr>
          <w:rFonts w:ascii="Neo Sans Pro" w:hAnsi="Neo Sans Pro" w:cs="Arial"/>
          <w:sz w:val="20"/>
          <w:szCs w:val="20"/>
        </w:rPr>
        <w:t>/ mes (se anexan tarifas por rango y tipo de usuario). Y predominantemente el 90% de los usuarios son bajo en régimen de cuota fija.</w:t>
      </w:r>
    </w:p>
    <w:p w14:paraId="474114B7" w14:textId="77777777" w:rsidR="00580787" w:rsidRPr="00FE2459" w:rsidRDefault="00580787" w:rsidP="00580787">
      <w:pPr>
        <w:jc w:val="both"/>
        <w:rPr>
          <w:rFonts w:ascii="Neo Sans Pro" w:hAnsi="Neo Sans Pro" w:cs="Arial"/>
          <w:sz w:val="20"/>
          <w:szCs w:val="20"/>
        </w:rPr>
      </w:pPr>
    </w:p>
    <w:p w14:paraId="26C48CB8" w14:textId="77777777" w:rsidR="00580787" w:rsidRPr="00FE2459" w:rsidRDefault="00580787" w:rsidP="00580787">
      <w:pPr>
        <w:jc w:val="both"/>
        <w:rPr>
          <w:rFonts w:ascii="Neo Sans Pro" w:hAnsi="Neo Sans Pro" w:cs="Arial"/>
          <w:sz w:val="20"/>
          <w:szCs w:val="20"/>
        </w:rPr>
      </w:pPr>
    </w:p>
    <w:p w14:paraId="6EE8AA77" w14:textId="207793DD" w:rsidR="00821373" w:rsidRPr="000F7E00" w:rsidRDefault="00580787" w:rsidP="00580787">
      <w:pPr>
        <w:jc w:val="both"/>
        <w:rPr>
          <w:rFonts w:ascii="Neo Sans Pro" w:hAnsi="Neo Sans Pro" w:cs="Arial"/>
          <w:b/>
          <w:bCs/>
          <w:sz w:val="20"/>
          <w:szCs w:val="20"/>
        </w:rPr>
      </w:pPr>
      <w:r w:rsidRPr="000F7E00">
        <w:rPr>
          <w:rFonts w:ascii="Neo Sans Pro" w:hAnsi="Neo Sans Pro" w:cs="Arial"/>
          <w:b/>
          <w:bCs/>
          <w:sz w:val="20"/>
          <w:szCs w:val="20"/>
        </w:rPr>
        <w:t>5. Indique si en las cuotas por servicio de suministro de agua se encuentran incluidos otros servicios y especifique cuáles son</w:t>
      </w:r>
      <w:r w:rsidR="0066405E" w:rsidRPr="000F7E00">
        <w:rPr>
          <w:rFonts w:ascii="Neo Sans Pro" w:hAnsi="Neo Sans Pro" w:cs="Arial"/>
          <w:b/>
          <w:bCs/>
          <w:sz w:val="20"/>
          <w:szCs w:val="20"/>
        </w:rPr>
        <w:t>:</w:t>
      </w:r>
    </w:p>
    <w:p w14:paraId="3EDBCD5C" w14:textId="77777777" w:rsidR="0066405E" w:rsidRPr="00FE2459" w:rsidRDefault="0066405E" w:rsidP="00580787">
      <w:pPr>
        <w:jc w:val="both"/>
        <w:rPr>
          <w:rFonts w:ascii="Neo Sans Pro" w:hAnsi="Neo Sans Pro" w:cs="Arial"/>
          <w:sz w:val="20"/>
          <w:szCs w:val="20"/>
        </w:rPr>
      </w:pPr>
    </w:p>
    <w:p w14:paraId="5D573952" w14:textId="4BB58B0E" w:rsidR="00580787" w:rsidRPr="00FE2459" w:rsidRDefault="00821373" w:rsidP="00580787">
      <w:pPr>
        <w:jc w:val="both"/>
        <w:rPr>
          <w:rFonts w:ascii="Neo Sans Pro" w:hAnsi="Neo Sans Pro" w:cs="Arial"/>
          <w:sz w:val="20"/>
          <w:szCs w:val="20"/>
        </w:rPr>
      </w:pPr>
      <w:r w:rsidRPr="00FE2459">
        <w:rPr>
          <w:rFonts w:ascii="Neo Sans Pro" w:hAnsi="Neo Sans Pro" w:cs="Arial"/>
          <w:sz w:val="20"/>
          <w:szCs w:val="20"/>
        </w:rPr>
        <w:t xml:space="preserve">R.- No, en el municipio la tarifa que se cobra únicamente considera el consumo del servicio de agua potable, no existiendo tarifa para los servicios de drenaje sanitario, tratamiento de aguas y drenaje pluvial. </w:t>
      </w:r>
    </w:p>
    <w:p w14:paraId="763EEDC1" w14:textId="47839997" w:rsidR="00580787" w:rsidRPr="00FE2459" w:rsidRDefault="00580787" w:rsidP="00580787">
      <w:pPr>
        <w:jc w:val="both"/>
        <w:rPr>
          <w:rFonts w:ascii="Neo Sans Pro" w:hAnsi="Neo Sans Pro" w:cs="Arial"/>
          <w:sz w:val="20"/>
          <w:szCs w:val="20"/>
        </w:rPr>
      </w:pPr>
    </w:p>
    <w:p w14:paraId="1EA81517" w14:textId="77777777" w:rsidR="00D174C6" w:rsidRPr="00FE2459" w:rsidRDefault="00D174C6" w:rsidP="00580787">
      <w:pPr>
        <w:jc w:val="both"/>
        <w:rPr>
          <w:rFonts w:ascii="Neo Sans Pro" w:hAnsi="Neo Sans Pro" w:cs="Arial"/>
          <w:sz w:val="20"/>
          <w:szCs w:val="20"/>
        </w:rPr>
      </w:pPr>
    </w:p>
    <w:p w14:paraId="673405B0" w14:textId="3A65F5DF" w:rsidR="00580787" w:rsidRPr="000F7E00" w:rsidRDefault="00580787" w:rsidP="00580787">
      <w:pPr>
        <w:jc w:val="both"/>
        <w:rPr>
          <w:rFonts w:ascii="Neo Sans Pro" w:hAnsi="Neo Sans Pro" w:cs="Arial"/>
          <w:b/>
          <w:bCs/>
          <w:sz w:val="20"/>
          <w:szCs w:val="20"/>
          <w:u w:val="single"/>
        </w:rPr>
      </w:pPr>
      <w:r w:rsidRPr="000F7E00">
        <w:rPr>
          <w:rFonts w:ascii="Neo Sans Pro" w:hAnsi="Neo Sans Pro" w:cs="Arial"/>
          <w:b/>
          <w:bCs/>
          <w:sz w:val="20"/>
          <w:szCs w:val="20"/>
        </w:rPr>
        <w:t xml:space="preserve">6. ¿El pago del suministro de agua se toma como referencia para el cobro de otros conceptos?     Sí  </w:t>
      </w:r>
      <w:r w:rsidRPr="000F7E00">
        <w:rPr>
          <w:rFonts w:ascii="Neo Sans Pro" w:hAnsi="Neo Sans Pro" w:cs="Arial"/>
          <w:b/>
          <w:bCs/>
          <w:sz w:val="20"/>
          <w:szCs w:val="20"/>
          <w:u w:val="single"/>
        </w:rPr>
        <w:t xml:space="preserve">    </w:t>
      </w:r>
      <w:r w:rsidRPr="000F7E00">
        <w:rPr>
          <w:rFonts w:ascii="Neo Sans Pro" w:hAnsi="Neo Sans Pro" w:cs="Arial"/>
          <w:b/>
          <w:bCs/>
          <w:sz w:val="20"/>
          <w:szCs w:val="20"/>
        </w:rPr>
        <w:t xml:space="preserve">   </w:t>
      </w:r>
      <w:proofErr w:type="gramStart"/>
      <w:r w:rsidRPr="000F7E00">
        <w:rPr>
          <w:rFonts w:ascii="Neo Sans Pro" w:hAnsi="Neo Sans Pro" w:cs="Arial"/>
          <w:b/>
          <w:bCs/>
          <w:color w:val="FF0000"/>
          <w:sz w:val="20"/>
          <w:szCs w:val="20"/>
        </w:rPr>
        <w:t>No  _</w:t>
      </w:r>
      <w:proofErr w:type="gramEnd"/>
      <w:r w:rsidR="00821373" w:rsidRPr="000F7E00">
        <w:rPr>
          <w:rFonts w:ascii="Neo Sans Pro" w:hAnsi="Neo Sans Pro" w:cs="Arial"/>
          <w:b/>
          <w:bCs/>
          <w:color w:val="FF0000"/>
          <w:sz w:val="20"/>
          <w:szCs w:val="20"/>
        </w:rPr>
        <w:t>x</w:t>
      </w:r>
      <w:r w:rsidRPr="000F7E00">
        <w:rPr>
          <w:rFonts w:ascii="Neo Sans Pro" w:hAnsi="Neo Sans Pro" w:cs="Arial"/>
          <w:b/>
          <w:bCs/>
          <w:color w:val="FF0000"/>
          <w:sz w:val="20"/>
          <w:szCs w:val="20"/>
        </w:rPr>
        <w:t>_</w:t>
      </w:r>
    </w:p>
    <w:p w14:paraId="51CB2573" w14:textId="77777777" w:rsidR="00580787" w:rsidRPr="00FE2459" w:rsidRDefault="00580787" w:rsidP="00580787">
      <w:pPr>
        <w:jc w:val="both"/>
        <w:rPr>
          <w:rFonts w:ascii="Neo Sans Pro" w:hAnsi="Neo Sans Pro" w:cs="Arial"/>
          <w:sz w:val="20"/>
          <w:szCs w:val="20"/>
        </w:rPr>
      </w:pPr>
    </w:p>
    <w:p w14:paraId="796897EC" w14:textId="77777777" w:rsidR="00580787" w:rsidRPr="00FE2459" w:rsidRDefault="00580787" w:rsidP="00580787">
      <w:pPr>
        <w:jc w:val="both"/>
        <w:rPr>
          <w:rFonts w:ascii="Neo Sans Pro" w:hAnsi="Neo Sans Pro" w:cs="Arial"/>
          <w:sz w:val="20"/>
          <w:szCs w:val="20"/>
        </w:rPr>
      </w:pPr>
    </w:p>
    <w:p w14:paraId="3C992F32" w14:textId="77777777" w:rsidR="00580787" w:rsidRPr="00FE2459" w:rsidRDefault="00580787" w:rsidP="00580787">
      <w:pPr>
        <w:jc w:val="both"/>
        <w:rPr>
          <w:rFonts w:ascii="Neo Sans Pro" w:hAnsi="Neo Sans Pro" w:cs="Arial"/>
          <w:sz w:val="20"/>
          <w:szCs w:val="20"/>
        </w:rPr>
      </w:pPr>
      <w:r w:rsidRPr="00FE2459">
        <w:rPr>
          <w:rFonts w:ascii="Neo Sans Pro" w:hAnsi="Neo Sans Pro" w:cs="Arial"/>
          <w:sz w:val="20"/>
          <w:szCs w:val="20"/>
        </w:rPr>
        <w:t>Si su respuesta es Sí, señale lo siguiente:</w:t>
      </w:r>
    </w:p>
    <w:p w14:paraId="5BB471BF" w14:textId="77777777" w:rsidR="00580787" w:rsidRPr="00FE2459" w:rsidRDefault="00580787" w:rsidP="00580787">
      <w:pPr>
        <w:rPr>
          <w:rFonts w:ascii="Neo Sans Pro" w:hAnsi="Neo Sans Pro" w:cs="Arial"/>
          <w:sz w:val="20"/>
          <w:szCs w:val="20"/>
        </w:rPr>
      </w:pPr>
    </w:p>
    <w:p w14:paraId="347C8B66" w14:textId="09C50939" w:rsidR="00580787" w:rsidRPr="000F7E00" w:rsidRDefault="000050DF" w:rsidP="00580787">
      <w:pPr>
        <w:rPr>
          <w:rFonts w:ascii="Neo Sans Pro" w:hAnsi="Neo Sans Pro" w:cs="Arial"/>
          <w:b/>
          <w:bCs/>
          <w:sz w:val="20"/>
          <w:szCs w:val="20"/>
        </w:rPr>
      </w:pPr>
      <w:r w:rsidRPr="000F7E00">
        <w:rPr>
          <w:rFonts w:ascii="Neo Sans Pro" w:hAnsi="Neo Sans Pro" w:cs="Arial"/>
          <w:b/>
          <w:bCs/>
          <w:sz w:val="20"/>
          <w:szCs w:val="20"/>
        </w:rPr>
        <w:t>NO APLICA</w:t>
      </w:r>
    </w:p>
    <w:tbl>
      <w:tblPr>
        <w:tblW w:w="6272" w:type="dxa"/>
        <w:jc w:val="center"/>
        <w:tblCellMar>
          <w:left w:w="70" w:type="dxa"/>
          <w:right w:w="70" w:type="dxa"/>
        </w:tblCellMar>
        <w:tblLook w:val="04A0" w:firstRow="1" w:lastRow="0" w:firstColumn="1" w:lastColumn="0" w:noHBand="0" w:noVBand="1"/>
      </w:tblPr>
      <w:tblGrid>
        <w:gridCol w:w="1007"/>
        <w:gridCol w:w="995"/>
        <w:gridCol w:w="1168"/>
        <w:gridCol w:w="856"/>
        <w:gridCol w:w="1296"/>
        <w:gridCol w:w="1475"/>
      </w:tblGrid>
      <w:tr w:rsidR="00580787" w:rsidRPr="00FE2459" w14:paraId="080B7876" w14:textId="77777777" w:rsidTr="004740DC">
        <w:trPr>
          <w:trHeight w:val="552"/>
          <w:jc w:val="center"/>
        </w:trPr>
        <w:tc>
          <w:tcPr>
            <w:tcW w:w="876"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28FC87D2"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 xml:space="preserve">Municipio </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AF34CDE"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Concepto</w:t>
            </w:r>
          </w:p>
        </w:tc>
        <w:tc>
          <w:tcPr>
            <w:tcW w:w="2024" w:type="dxa"/>
            <w:gridSpan w:val="2"/>
            <w:tcBorders>
              <w:top w:val="single" w:sz="4" w:space="0" w:color="auto"/>
              <w:left w:val="nil"/>
              <w:bottom w:val="single" w:sz="4" w:space="0" w:color="auto"/>
              <w:right w:val="single" w:sz="4" w:space="0" w:color="auto"/>
            </w:tcBorders>
            <w:shd w:val="clear" w:color="000000" w:fill="A6A6A6"/>
            <w:vAlign w:val="center"/>
            <w:hideMark/>
          </w:tcPr>
          <w:p w14:paraId="62D8C8B9"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Tasa</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1994696"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Recaudación</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035B91D"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Observaciones</w:t>
            </w:r>
          </w:p>
        </w:tc>
      </w:tr>
      <w:tr w:rsidR="00580787" w:rsidRPr="00FE2459" w14:paraId="71BC4ABF" w14:textId="77777777" w:rsidTr="004740DC">
        <w:trPr>
          <w:trHeight w:val="234"/>
          <w:jc w:val="center"/>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3B190210" w14:textId="77777777" w:rsidR="00580787" w:rsidRPr="00FE2459" w:rsidRDefault="00580787" w:rsidP="004740DC">
            <w:pPr>
              <w:ind w:right="0"/>
              <w:jc w:val="left"/>
              <w:rPr>
                <w:rFonts w:ascii="Neo Sans Pro" w:eastAsia="Times New Roman" w:hAnsi="Neo Sans Pro" w:cs="Arial"/>
                <w:b/>
                <w:bCs/>
                <w:color w:val="FFFFFF"/>
                <w:sz w:val="20"/>
                <w:szCs w:val="20"/>
                <w:lang w:eastAsia="es-MX"/>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970E652" w14:textId="77777777" w:rsidR="00580787" w:rsidRPr="00FE2459" w:rsidRDefault="00580787" w:rsidP="004740DC">
            <w:pPr>
              <w:ind w:right="0"/>
              <w:jc w:val="left"/>
              <w:rPr>
                <w:rFonts w:ascii="Neo Sans Pro" w:eastAsia="Times New Roman" w:hAnsi="Neo Sans Pro" w:cs="Arial"/>
                <w:b/>
                <w:bCs/>
                <w:color w:val="FFFFFF"/>
                <w:sz w:val="20"/>
                <w:szCs w:val="20"/>
                <w:lang w:eastAsia="es-MX"/>
              </w:rPr>
            </w:pPr>
          </w:p>
        </w:tc>
        <w:tc>
          <w:tcPr>
            <w:tcW w:w="1168" w:type="dxa"/>
            <w:tcBorders>
              <w:top w:val="nil"/>
              <w:left w:val="nil"/>
              <w:bottom w:val="single" w:sz="4" w:space="0" w:color="auto"/>
              <w:right w:val="single" w:sz="4" w:space="0" w:color="auto"/>
            </w:tcBorders>
            <w:shd w:val="clear" w:color="000000" w:fill="A6A6A6"/>
            <w:vAlign w:val="center"/>
            <w:hideMark/>
          </w:tcPr>
          <w:p w14:paraId="0B40AEB6"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2023</w:t>
            </w:r>
          </w:p>
        </w:tc>
        <w:tc>
          <w:tcPr>
            <w:tcW w:w="856" w:type="dxa"/>
            <w:tcBorders>
              <w:top w:val="nil"/>
              <w:left w:val="nil"/>
              <w:bottom w:val="single" w:sz="4" w:space="0" w:color="auto"/>
              <w:right w:val="single" w:sz="4" w:space="0" w:color="auto"/>
            </w:tcBorders>
            <w:shd w:val="clear" w:color="000000" w:fill="A6A6A6"/>
            <w:vAlign w:val="center"/>
            <w:hideMark/>
          </w:tcPr>
          <w:p w14:paraId="4B7B2434"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2024</w:t>
            </w: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E28BF8C" w14:textId="77777777" w:rsidR="00580787" w:rsidRPr="00FE2459" w:rsidRDefault="00580787" w:rsidP="004740DC">
            <w:pPr>
              <w:ind w:right="0"/>
              <w:jc w:val="left"/>
              <w:rPr>
                <w:rFonts w:ascii="Neo Sans Pro" w:eastAsia="Times New Roman" w:hAnsi="Neo Sans Pro" w:cs="Arial"/>
                <w:b/>
                <w:bCs/>
                <w:color w:val="FFFFFF"/>
                <w:sz w:val="20"/>
                <w:szCs w:val="20"/>
                <w:lang w:eastAsia="es-MX"/>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0C4943D7" w14:textId="77777777" w:rsidR="00580787" w:rsidRPr="00FE2459" w:rsidRDefault="00580787" w:rsidP="004740DC">
            <w:pPr>
              <w:ind w:right="0"/>
              <w:jc w:val="left"/>
              <w:rPr>
                <w:rFonts w:ascii="Neo Sans Pro" w:eastAsia="Times New Roman" w:hAnsi="Neo Sans Pro" w:cs="Arial"/>
                <w:b/>
                <w:bCs/>
                <w:color w:val="FFFFFF"/>
                <w:sz w:val="20"/>
                <w:szCs w:val="20"/>
                <w:lang w:eastAsia="es-MX"/>
              </w:rPr>
            </w:pPr>
          </w:p>
        </w:tc>
      </w:tr>
      <w:tr w:rsidR="00580787" w:rsidRPr="00FE2459" w14:paraId="2C808228" w14:textId="77777777" w:rsidTr="004740DC">
        <w:trPr>
          <w:trHeight w:val="234"/>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F8C71B4"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914" w:type="dxa"/>
            <w:tcBorders>
              <w:top w:val="nil"/>
              <w:left w:val="nil"/>
              <w:bottom w:val="single" w:sz="4" w:space="0" w:color="auto"/>
              <w:right w:val="single" w:sz="4" w:space="0" w:color="auto"/>
            </w:tcBorders>
            <w:shd w:val="clear" w:color="auto" w:fill="auto"/>
            <w:noWrap/>
            <w:vAlign w:val="bottom"/>
            <w:hideMark/>
          </w:tcPr>
          <w:p w14:paraId="29F2EB05"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168" w:type="dxa"/>
            <w:tcBorders>
              <w:top w:val="nil"/>
              <w:left w:val="nil"/>
              <w:bottom w:val="single" w:sz="4" w:space="0" w:color="auto"/>
              <w:right w:val="single" w:sz="4" w:space="0" w:color="auto"/>
            </w:tcBorders>
            <w:shd w:val="clear" w:color="auto" w:fill="auto"/>
            <w:noWrap/>
            <w:vAlign w:val="bottom"/>
            <w:hideMark/>
          </w:tcPr>
          <w:p w14:paraId="672EF67B"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FB2BA75"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45" w:type="dxa"/>
            <w:tcBorders>
              <w:top w:val="nil"/>
              <w:left w:val="nil"/>
              <w:bottom w:val="single" w:sz="4" w:space="0" w:color="auto"/>
              <w:right w:val="single" w:sz="4" w:space="0" w:color="auto"/>
            </w:tcBorders>
            <w:shd w:val="clear" w:color="auto" w:fill="auto"/>
            <w:noWrap/>
            <w:vAlign w:val="bottom"/>
            <w:hideMark/>
          </w:tcPr>
          <w:p w14:paraId="56A7D1F3"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13" w:type="dxa"/>
            <w:tcBorders>
              <w:top w:val="nil"/>
              <w:left w:val="nil"/>
              <w:bottom w:val="single" w:sz="4" w:space="0" w:color="auto"/>
              <w:right w:val="single" w:sz="4" w:space="0" w:color="auto"/>
            </w:tcBorders>
            <w:shd w:val="clear" w:color="auto" w:fill="auto"/>
            <w:noWrap/>
            <w:vAlign w:val="bottom"/>
            <w:hideMark/>
          </w:tcPr>
          <w:p w14:paraId="7F2E40FF"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r w:rsidR="00580787" w:rsidRPr="00FE2459" w14:paraId="3C0EDCBC" w14:textId="77777777" w:rsidTr="004740DC">
        <w:trPr>
          <w:trHeight w:val="234"/>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90DF466"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914" w:type="dxa"/>
            <w:tcBorders>
              <w:top w:val="nil"/>
              <w:left w:val="nil"/>
              <w:bottom w:val="single" w:sz="4" w:space="0" w:color="auto"/>
              <w:right w:val="single" w:sz="4" w:space="0" w:color="auto"/>
            </w:tcBorders>
            <w:shd w:val="clear" w:color="auto" w:fill="auto"/>
            <w:noWrap/>
            <w:vAlign w:val="bottom"/>
            <w:hideMark/>
          </w:tcPr>
          <w:p w14:paraId="0765CBEB"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168" w:type="dxa"/>
            <w:tcBorders>
              <w:top w:val="nil"/>
              <w:left w:val="nil"/>
              <w:bottom w:val="single" w:sz="4" w:space="0" w:color="auto"/>
              <w:right w:val="single" w:sz="4" w:space="0" w:color="auto"/>
            </w:tcBorders>
            <w:shd w:val="clear" w:color="auto" w:fill="auto"/>
            <w:noWrap/>
            <w:vAlign w:val="bottom"/>
            <w:hideMark/>
          </w:tcPr>
          <w:p w14:paraId="674CA832"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2DD7E5A"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45" w:type="dxa"/>
            <w:tcBorders>
              <w:top w:val="nil"/>
              <w:left w:val="nil"/>
              <w:bottom w:val="single" w:sz="4" w:space="0" w:color="auto"/>
              <w:right w:val="single" w:sz="4" w:space="0" w:color="auto"/>
            </w:tcBorders>
            <w:shd w:val="clear" w:color="auto" w:fill="auto"/>
            <w:noWrap/>
            <w:vAlign w:val="bottom"/>
            <w:hideMark/>
          </w:tcPr>
          <w:p w14:paraId="064503A9"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13" w:type="dxa"/>
            <w:tcBorders>
              <w:top w:val="nil"/>
              <w:left w:val="nil"/>
              <w:bottom w:val="single" w:sz="4" w:space="0" w:color="auto"/>
              <w:right w:val="single" w:sz="4" w:space="0" w:color="auto"/>
            </w:tcBorders>
            <w:shd w:val="clear" w:color="auto" w:fill="auto"/>
            <w:noWrap/>
            <w:vAlign w:val="bottom"/>
            <w:hideMark/>
          </w:tcPr>
          <w:p w14:paraId="20AA3062"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r w:rsidR="00580787" w:rsidRPr="00FE2459" w14:paraId="1D012DF3" w14:textId="77777777" w:rsidTr="004740DC">
        <w:trPr>
          <w:trHeight w:val="234"/>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36EB48"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914" w:type="dxa"/>
            <w:tcBorders>
              <w:top w:val="nil"/>
              <w:left w:val="nil"/>
              <w:bottom w:val="single" w:sz="4" w:space="0" w:color="auto"/>
              <w:right w:val="single" w:sz="4" w:space="0" w:color="auto"/>
            </w:tcBorders>
            <w:shd w:val="clear" w:color="auto" w:fill="auto"/>
            <w:noWrap/>
            <w:vAlign w:val="bottom"/>
            <w:hideMark/>
          </w:tcPr>
          <w:p w14:paraId="52ECF62F"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168" w:type="dxa"/>
            <w:tcBorders>
              <w:top w:val="nil"/>
              <w:left w:val="nil"/>
              <w:bottom w:val="single" w:sz="4" w:space="0" w:color="auto"/>
              <w:right w:val="single" w:sz="4" w:space="0" w:color="auto"/>
            </w:tcBorders>
            <w:shd w:val="clear" w:color="auto" w:fill="auto"/>
            <w:noWrap/>
            <w:vAlign w:val="bottom"/>
            <w:hideMark/>
          </w:tcPr>
          <w:p w14:paraId="67AD386C"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B5A6EC8"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45" w:type="dxa"/>
            <w:tcBorders>
              <w:top w:val="nil"/>
              <w:left w:val="nil"/>
              <w:bottom w:val="single" w:sz="4" w:space="0" w:color="auto"/>
              <w:right w:val="single" w:sz="4" w:space="0" w:color="auto"/>
            </w:tcBorders>
            <w:shd w:val="clear" w:color="auto" w:fill="auto"/>
            <w:noWrap/>
            <w:vAlign w:val="bottom"/>
            <w:hideMark/>
          </w:tcPr>
          <w:p w14:paraId="5758EFE8"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13" w:type="dxa"/>
            <w:tcBorders>
              <w:top w:val="nil"/>
              <w:left w:val="nil"/>
              <w:bottom w:val="single" w:sz="4" w:space="0" w:color="auto"/>
              <w:right w:val="single" w:sz="4" w:space="0" w:color="auto"/>
            </w:tcBorders>
            <w:shd w:val="clear" w:color="auto" w:fill="auto"/>
            <w:noWrap/>
            <w:vAlign w:val="bottom"/>
            <w:hideMark/>
          </w:tcPr>
          <w:p w14:paraId="09F87DDD"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bl>
    <w:p w14:paraId="514C92A0" w14:textId="77777777" w:rsidR="00580787" w:rsidRPr="00FE2459" w:rsidRDefault="00580787" w:rsidP="00580787">
      <w:pPr>
        <w:jc w:val="both"/>
        <w:rPr>
          <w:rFonts w:ascii="Neo Sans Pro" w:hAnsi="Neo Sans Pro" w:cs="Arial"/>
          <w:sz w:val="20"/>
          <w:szCs w:val="20"/>
        </w:rPr>
      </w:pPr>
      <w:bookmarkStart w:id="1" w:name="_MON_1422439971"/>
      <w:bookmarkEnd w:id="1"/>
    </w:p>
    <w:p w14:paraId="01A1EBAE" w14:textId="77777777" w:rsidR="00580787" w:rsidRPr="00FE2459" w:rsidRDefault="00580787" w:rsidP="00580787">
      <w:pPr>
        <w:jc w:val="both"/>
        <w:rPr>
          <w:rFonts w:ascii="Neo Sans Pro" w:hAnsi="Neo Sans Pro" w:cs="Arial"/>
          <w:sz w:val="20"/>
          <w:szCs w:val="20"/>
        </w:rPr>
      </w:pPr>
    </w:p>
    <w:p w14:paraId="3BDB26BC" w14:textId="77777777" w:rsidR="00580787" w:rsidRPr="000F7E00" w:rsidRDefault="00580787" w:rsidP="00580787">
      <w:pPr>
        <w:jc w:val="both"/>
        <w:rPr>
          <w:rFonts w:ascii="Neo Sans Pro" w:hAnsi="Neo Sans Pro" w:cs="Arial"/>
          <w:b/>
          <w:bCs/>
          <w:sz w:val="20"/>
          <w:szCs w:val="20"/>
        </w:rPr>
      </w:pPr>
      <w:r w:rsidRPr="000F7E00">
        <w:rPr>
          <w:rFonts w:ascii="Neo Sans Pro" w:hAnsi="Neo Sans Pro" w:cs="Arial"/>
          <w:b/>
          <w:bCs/>
          <w:sz w:val="20"/>
          <w:szCs w:val="20"/>
        </w:rPr>
        <w:t>7. Enuncie los organismos que operan en el Estado y que proporcionan el servicio, su forma de organización jurídica, las obligaciones y derechos con respecto a la concesión otorgada e indique los municipios en que opera cada uno de ellos y la recaudación por organismo.</w:t>
      </w:r>
    </w:p>
    <w:p w14:paraId="6169E0CC" w14:textId="77777777" w:rsidR="00580787" w:rsidRPr="00FE2459" w:rsidRDefault="00580787" w:rsidP="00580787">
      <w:pPr>
        <w:jc w:val="both"/>
        <w:rPr>
          <w:rFonts w:ascii="Neo Sans Pro" w:hAnsi="Neo Sans Pro" w:cs="Arial"/>
          <w:sz w:val="20"/>
          <w:szCs w:val="20"/>
        </w:rPr>
      </w:pPr>
    </w:p>
    <w:p w14:paraId="35E1E9FF" w14:textId="77777777" w:rsidR="00580787" w:rsidRPr="00FE2459" w:rsidRDefault="00580787" w:rsidP="00580787">
      <w:pPr>
        <w:jc w:val="both"/>
        <w:rPr>
          <w:rFonts w:ascii="Neo Sans Pro" w:hAnsi="Neo Sans Pro" w:cs="Arial"/>
          <w:sz w:val="20"/>
          <w:szCs w:val="20"/>
        </w:rPr>
      </w:pPr>
    </w:p>
    <w:tbl>
      <w:tblPr>
        <w:tblW w:w="5000" w:type="pct"/>
        <w:jc w:val="center"/>
        <w:tblCellMar>
          <w:left w:w="70" w:type="dxa"/>
          <w:right w:w="70" w:type="dxa"/>
        </w:tblCellMar>
        <w:tblLook w:val="04A0" w:firstRow="1" w:lastRow="0" w:firstColumn="1" w:lastColumn="0" w:noHBand="0" w:noVBand="1"/>
      </w:tblPr>
      <w:tblGrid>
        <w:gridCol w:w="1406"/>
        <w:gridCol w:w="1555"/>
        <w:gridCol w:w="1932"/>
        <w:gridCol w:w="1820"/>
        <w:gridCol w:w="2115"/>
      </w:tblGrid>
      <w:tr w:rsidR="00580787" w:rsidRPr="00FE2459" w14:paraId="379EAAAD" w14:textId="77777777" w:rsidTr="000F7E00">
        <w:trPr>
          <w:trHeight w:val="480"/>
          <w:jc w:val="center"/>
        </w:trPr>
        <w:tc>
          <w:tcPr>
            <w:tcW w:w="796"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36DAA717" w14:textId="77777777" w:rsidR="00580787" w:rsidRPr="00FE2459" w:rsidRDefault="00580787" w:rsidP="004740DC">
            <w:pPr>
              <w:ind w:right="0"/>
              <w:rPr>
                <w:rFonts w:ascii="Neo Sans Pro" w:eastAsia="Times New Roman" w:hAnsi="Neo Sans Pro" w:cs="Arial"/>
                <w:b/>
                <w:bCs/>
                <w:color w:val="FFFFFF"/>
                <w:sz w:val="20"/>
                <w:szCs w:val="20"/>
                <w:lang w:eastAsia="es-MX"/>
              </w:rPr>
            </w:pPr>
            <w:bookmarkStart w:id="2" w:name="_MON_1422440011"/>
            <w:bookmarkEnd w:id="2"/>
            <w:r w:rsidRPr="00FE2459">
              <w:rPr>
                <w:rFonts w:ascii="Neo Sans Pro" w:eastAsia="Times New Roman" w:hAnsi="Neo Sans Pro" w:cs="Arial"/>
                <w:b/>
                <w:bCs/>
                <w:color w:val="FFFFFF"/>
                <w:sz w:val="20"/>
                <w:szCs w:val="20"/>
                <w:lang w:eastAsia="es-MX"/>
              </w:rPr>
              <w:t>Municipio</w:t>
            </w:r>
          </w:p>
        </w:tc>
        <w:tc>
          <w:tcPr>
            <w:tcW w:w="881" w:type="pct"/>
            <w:tcBorders>
              <w:top w:val="single" w:sz="4" w:space="0" w:color="auto"/>
              <w:left w:val="nil"/>
              <w:bottom w:val="single" w:sz="4" w:space="0" w:color="auto"/>
              <w:right w:val="single" w:sz="4" w:space="0" w:color="auto"/>
            </w:tcBorders>
            <w:shd w:val="clear" w:color="000000" w:fill="A6A6A6"/>
            <w:vAlign w:val="center"/>
            <w:hideMark/>
          </w:tcPr>
          <w:p w14:paraId="7D48F3D2"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 xml:space="preserve">Organismo </w:t>
            </w:r>
          </w:p>
        </w:tc>
        <w:tc>
          <w:tcPr>
            <w:tcW w:w="1094" w:type="pct"/>
            <w:tcBorders>
              <w:top w:val="single" w:sz="4" w:space="0" w:color="auto"/>
              <w:left w:val="nil"/>
              <w:bottom w:val="single" w:sz="4" w:space="0" w:color="auto"/>
              <w:right w:val="single" w:sz="4" w:space="0" w:color="auto"/>
            </w:tcBorders>
            <w:shd w:val="clear" w:color="000000" w:fill="A6A6A6"/>
            <w:vAlign w:val="center"/>
            <w:hideMark/>
          </w:tcPr>
          <w:p w14:paraId="72BEB0A7"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Forma de Organización</w:t>
            </w:r>
          </w:p>
        </w:tc>
        <w:tc>
          <w:tcPr>
            <w:tcW w:w="1031" w:type="pct"/>
            <w:tcBorders>
              <w:top w:val="single" w:sz="4" w:space="0" w:color="auto"/>
              <w:left w:val="nil"/>
              <w:bottom w:val="single" w:sz="4" w:space="0" w:color="auto"/>
              <w:right w:val="single" w:sz="4" w:space="0" w:color="auto"/>
            </w:tcBorders>
            <w:shd w:val="clear" w:color="000000" w:fill="A6A6A6"/>
            <w:vAlign w:val="center"/>
            <w:hideMark/>
          </w:tcPr>
          <w:p w14:paraId="188BF021"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Obligaciones y Derechos</w:t>
            </w:r>
          </w:p>
        </w:tc>
        <w:tc>
          <w:tcPr>
            <w:tcW w:w="1197" w:type="pct"/>
            <w:tcBorders>
              <w:top w:val="single" w:sz="4" w:space="0" w:color="auto"/>
              <w:left w:val="nil"/>
              <w:bottom w:val="single" w:sz="4" w:space="0" w:color="auto"/>
              <w:right w:val="single" w:sz="4" w:space="0" w:color="auto"/>
            </w:tcBorders>
            <w:shd w:val="clear" w:color="000000" w:fill="A6A6A6"/>
            <w:vAlign w:val="center"/>
            <w:hideMark/>
          </w:tcPr>
          <w:p w14:paraId="4B87E666"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Recaudación</w:t>
            </w:r>
          </w:p>
        </w:tc>
      </w:tr>
      <w:tr w:rsidR="00580787" w:rsidRPr="00FE2459" w14:paraId="054B11CB" w14:textId="77777777" w:rsidTr="000F7E00">
        <w:trPr>
          <w:trHeight w:val="300"/>
          <w:jc w:val="center"/>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5D067D99" w14:textId="5C7E283F" w:rsidR="00580787" w:rsidRPr="00FE2459" w:rsidRDefault="00821373"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Úrsulo Galván</w:t>
            </w:r>
            <w:r w:rsidR="00580787" w:rsidRPr="00FE2459">
              <w:rPr>
                <w:rFonts w:ascii="Neo Sans Pro" w:eastAsia="Times New Roman" w:hAnsi="Neo Sans Pro" w:cs="Arial"/>
                <w:color w:val="000000"/>
                <w:sz w:val="20"/>
                <w:szCs w:val="20"/>
                <w:lang w:eastAsia="es-MX"/>
              </w:rPr>
              <w:t> </w:t>
            </w:r>
          </w:p>
        </w:tc>
        <w:tc>
          <w:tcPr>
            <w:tcW w:w="881" w:type="pct"/>
            <w:tcBorders>
              <w:top w:val="nil"/>
              <w:left w:val="nil"/>
              <w:bottom w:val="single" w:sz="4" w:space="0" w:color="auto"/>
              <w:right w:val="single" w:sz="4" w:space="0" w:color="auto"/>
            </w:tcBorders>
            <w:shd w:val="clear" w:color="auto" w:fill="auto"/>
            <w:vAlign w:val="center"/>
            <w:hideMark/>
          </w:tcPr>
          <w:p w14:paraId="5D0D2CC0" w14:textId="3A13ABAC" w:rsidR="00580787" w:rsidRPr="00FE2459" w:rsidRDefault="0058078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roofErr w:type="spellStart"/>
            <w:r w:rsidR="00821373" w:rsidRPr="00FE2459">
              <w:rPr>
                <w:rFonts w:ascii="Neo Sans Pro" w:eastAsia="Times New Roman" w:hAnsi="Neo Sans Pro" w:cs="Arial"/>
                <w:color w:val="000000"/>
                <w:sz w:val="20"/>
                <w:szCs w:val="20"/>
                <w:lang w:eastAsia="es-MX"/>
              </w:rPr>
              <w:t>DAPyS</w:t>
            </w:r>
            <w:proofErr w:type="spellEnd"/>
            <w:r w:rsidR="00821373" w:rsidRPr="00FE2459">
              <w:rPr>
                <w:rFonts w:ascii="Neo Sans Pro" w:eastAsia="Times New Roman" w:hAnsi="Neo Sans Pro" w:cs="Arial"/>
                <w:color w:val="000000"/>
                <w:sz w:val="20"/>
                <w:szCs w:val="20"/>
                <w:lang w:eastAsia="es-MX"/>
              </w:rPr>
              <w:t xml:space="preserve"> </w:t>
            </w:r>
          </w:p>
        </w:tc>
        <w:tc>
          <w:tcPr>
            <w:tcW w:w="1094" w:type="pct"/>
            <w:tcBorders>
              <w:top w:val="nil"/>
              <w:left w:val="nil"/>
              <w:bottom w:val="single" w:sz="4" w:space="0" w:color="auto"/>
              <w:right w:val="single" w:sz="4" w:space="0" w:color="auto"/>
            </w:tcBorders>
            <w:shd w:val="clear" w:color="auto" w:fill="auto"/>
            <w:vAlign w:val="center"/>
            <w:hideMark/>
          </w:tcPr>
          <w:p w14:paraId="5D7A973E" w14:textId="3AAAC272" w:rsidR="00580787" w:rsidRPr="00FE2459" w:rsidRDefault="00821373"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Centralizada, sin personalidad jurídica ni patrimonio propio </w:t>
            </w:r>
            <w:r w:rsidR="00580787" w:rsidRPr="00FE2459">
              <w:rPr>
                <w:rFonts w:ascii="Neo Sans Pro" w:eastAsia="Times New Roman" w:hAnsi="Neo Sans Pro" w:cs="Arial"/>
                <w:color w:val="000000"/>
                <w:sz w:val="20"/>
                <w:szCs w:val="20"/>
                <w:lang w:eastAsia="es-MX"/>
              </w:rPr>
              <w:t> </w:t>
            </w:r>
          </w:p>
        </w:tc>
        <w:tc>
          <w:tcPr>
            <w:tcW w:w="1031" w:type="pct"/>
            <w:tcBorders>
              <w:top w:val="nil"/>
              <w:left w:val="nil"/>
              <w:bottom w:val="single" w:sz="4" w:space="0" w:color="auto"/>
              <w:right w:val="single" w:sz="4" w:space="0" w:color="auto"/>
            </w:tcBorders>
            <w:shd w:val="clear" w:color="auto" w:fill="auto"/>
            <w:vAlign w:val="center"/>
            <w:hideMark/>
          </w:tcPr>
          <w:p w14:paraId="6410FB29" w14:textId="6E37A2AA" w:rsidR="000F7E00" w:rsidRPr="000F7E00" w:rsidRDefault="000F7E00" w:rsidP="000F7E00">
            <w:pPr>
              <w:jc w:val="both"/>
              <w:rPr>
                <w:rFonts w:ascii="Neo Sans Pro" w:hAnsi="Neo Sans Pro" w:cs="Arial"/>
                <w:sz w:val="20"/>
                <w:szCs w:val="20"/>
              </w:rPr>
            </w:pPr>
            <w:r>
              <w:rPr>
                <w:rFonts w:ascii="Neo Sans Pro" w:hAnsi="Neo Sans Pro" w:cs="Arial"/>
                <w:sz w:val="20"/>
                <w:szCs w:val="20"/>
              </w:rPr>
              <w:t>Las establecidas en los artículos</w:t>
            </w:r>
            <w:r w:rsidRPr="000F7E00">
              <w:rPr>
                <w:rFonts w:ascii="Neo Sans Pro" w:hAnsi="Neo Sans Pro" w:cs="Arial"/>
                <w:sz w:val="20"/>
                <w:szCs w:val="20"/>
              </w:rPr>
              <w:t xml:space="preserve"> 30, 33</w:t>
            </w:r>
            <w:r w:rsidR="00062D69">
              <w:rPr>
                <w:rFonts w:ascii="Neo Sans Pro" w:hAnsi="Neo Sans Pro" w:cs="Arial"/>
                <w:sz w:val="20"/>
                <w:szCs w:val="20"/>
              </w:rPr>
              <w:t>, 38,</w:t>
            </w:r>
            <w:r w:rsidRPr="000F7E00">
              <w:rPr>
                <w:rFonts w:ascii="Neo Sans Pro" w:hAnsi="Neo Sans Pro" w:cs="Arial"/>
                <w:sz w:val="20"/>
                <w:szCs w:val="20"/>
              </w:rPr>
              <w:t xml:space="preserve"> </w:t>
            </w:r>
            <w:r w:rsidR="00062D69">
              <w:rPr>
                <w:rFonts w:ascii="Neo Sans Pro" w:hAnsi="Neo Sans Pro" w:cs="Arial"/>
                <w:sz w:val="20"/>
                <w:szCs w:val="20"/>
              </w:rPr>
              <w:t>102, 104 y 105</w:t>
            </w:r>
            <w:r>
              <w:rPr>
                <w:rFonts w:ascii="Neo Sans Pro" w:hAnsi="Neo Sans Pro" w:cs="Arial"/>
                <w:sz w:val="20"/>
                <w:szCs w:val="20"/>
              </w:rPr>
              <w:t xml:space="preserve"> de la </w:t>
            </w:r>
            <w:r w:rsidRPr="000F7E00">
              <w:rPr>
                <w:rFonts w:ascii="Neo Sans Pro" w:hAnsi="Neo Sans Pro" w:cs="Arial"/>
                <w:sz w:val="20"/>
                <w:szCs w:val="20"/>
              </w:rPr>
              <w:t>Ley de Aguas del Estado de Ver.</w:t>
            </w:r>
          </w:p>
          <w:p w14:paraId="43090907" w14:textId="7A804B2D" w:rsidR="00580787" w:rsidRPr="00FE2459" w:rsidRDefault="00580787" w:rsidP="004740DC">
            <w:pPr>
              <w:ind w:right="0"/>
              <w:rPr>
                <w:rFonts w:ascii="Neo Sans Pro" w:eastAsia="Times New Roman" w:hAnsi="Neo Sans Pro" w:cs="Arial"/>
                <w:color w:val="000000"/>
                <w:sz w:val="20"/>
                <w:szCs w:val="20"/>
                <w:lang w:eastAsia="es-MX"/>
              </w:rPr>
            </w:pPr>
          </w:p>
        </w:tc>
        <w:tc>
          <w:tcPr>
            <w:tcW w:w="1197" w:type="pct"/>
            <w:tcBorders>
              <w:top w:val="nil"/>
              <w:left w:val="nil"/>
              <w:bottom w:val="single" w:sz="4" w:space="0" w:color="auto"/>
              <w:right w:val="single" w:sz="4" w:space="0" w:color="auto"/>
            </w:tcBorders>
            <w:shd w:val="clear" w:color="auto" w:fill="auto"/>
            <w:vAlign w:val="center"/>
            <w:hideMark/>
          </w:tcPr>
          <w:p w14:paraId="4CAC33C6" w14:textId="48BBD627" w:rsidR="00580787" w:rsidRPr="00FE2459" w:rsidRDefault="00821373"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w:t>
            </w:r>
            <w:r w:rsidR="000050DF" w:rsidRPr="00FE2459">
              <w:rPr>
                <w:rFonts w:ascii="Neo Sans Pro" w:eastAsia="Times New Roman" w:hAnsi="Neo Sans Pro" w:cs="Arial"/>
                <w:color w:val="000000"/>
                <w:sz w:val="20"/>
                <w:szCs w:val="20"/>
                <w:lang w:eastAsia="es-MX"/>
              </w:rPr>
              <w:t>7,895,645.15</w:t>
            </w:r>
          </w:p>
        </w:tc>
      </w:tr>
      <w:tr w:rsidR="000050DF" w:rsidRPr="00FE2459" w14:paraId="7F4EA1D4" w14:textId="77777777" w:rsidTr="00691754">
        <w:trPr>
          <w:trHeight w:val="745"/>
          <w:jc w:val="center"/>
        </w:trPr>
        <w:tc>
          <w:tcPr>
            <w:tcW w:w="5000" w:type="pct"/>
            <w:gridSpan w:val="5"/>
            <w:tcBorders>
              <w:top w:val="nil"/>
              <w:left w:val="single" w:sz="4" w:space="0" w:color="auto"/>
              <w:bottom w:val="single" w:sz="4" w:space="0" w:color="auto"/>
              <w:right w:val="single" w:sz="4" w:space="0" w:color="auto"/>
            </w:tcBorders>
            <w:shd w:val="clear" w:color="auto" w:fill="auto"/>
            <w:vAlign w:val="center"/>
            <w:hideMark/>
          </w:tcPr>
          <w:p w14:paraId="06E0F61E" w14:textId="4838CE11" w:rsidR="000050DF" w:rsidRPr="00FE2459" w:rsidRDefault="000050DF" w:rsidP="00691754">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lastRenderedPageBreak/>
              <w:t xml:space="preserve"> La recaudación total fue de $8’685.208.55 y sin incluir el impuesto adicional de $789,564.41 equivalente al 10 de los derechos, el monto recaudado por agua potable es de </w:t>
            </w:r>
            <w:r w:rsidR="006A5D17" w:rsidRPr="00FE2459">
              <w:rPr>
                <w:rFonts w:ascii="Neo Sans Pro" w:eastAsia="Times New Roman" w:hAnsi="Neo Sans Pro" w:cs="Arial"/>
                <w:color w:val="000000"/>
                <w:sz w:val="20"/>
                <w:szCs w:val="20"/>
                <w:lang w:eastAsia="es-MX"/>
              </w:rPr>
              <w:t>$7,895,645.15</w:t>
            </w:r>
          </w:p>
        </w:tc>
      </w:tr>
    </w:tbl>
    <w:p w14:paraId="339A4B45" w14:textId="77777777" w:rsidR="00580787" w:rsidRPr="00FE2459" w:rsidRDefault="00580787" w:rsidP="00580787">
      <w:pPr>
        <w:jc w:val="both"/>
        <w:rPr>
          <w:rFonts w:ascii="Neo Sans Pro" w:hAnsi="Neo Sans Pro" w:cs="Arial"/>
          <w:sz w:val="20"/>
          <w:szCs w:val="20"/>
        </w:rPr>
      </w:pPr>
    </w:p>
    <w:p w14:paraId="414677FF" w14:textId="77777777" w:rsidR="00580787" w:rsidRPr="00FE2459" w:rsidRDefault="00580787" w:rsidP="00580787">
      <w:pPr>
        <w:jc w:val="both"/>
        <w:rPr>
          <w:rFonts w:ascii="Neo Sans Pro" w:hAnsi="Neo Sans Pro" w:cs="Arial"/>
          <w:sz w:val="20"/>
          <w:szCs w:val="20"/>
        </w:rPr>
      </w:pPr>
    </w:p>
    <w:p w14:paraId="47765AFC" w14:textId="406CA7A6" w:rsidR="00580787" w:rsidRPr="00691754" w:rsidRDefault="00580787" w:rsidP="00580787">
      <w:pPr>
        <w:jc w:val="both"/>
        <w:rPr>
          <w:rFonts w:ascii="Neo Sans Pro" w:hAnsi="Neo Sans Pro" w:cs="Arial"/>
          <w:b/>
          <w:bCs/>
          <w:sz w:val="20"/>
          <w:szCs w:val="20"/>
        </w:rPr>
      </w:pPr>
      <w:r w:rsidRPr="00691754">
        <w:rPr>
          <w:rFonts w:ascii="Neo Sans Pro" w:hAnsi="Neo Sans Pro" w:cs="Arial"/>
          <w:b/>
          <w:bCs/>
          <w:sz w:val="20"/>
          <w:szCs w:val="20"/>
        </w:rPr>
        <w:t xml:space="preserve">8. Si las tasas o tarifas y el costo del metro cúbico vigente en su ordenamiento </w:t>
      </w:r>
      <w:r w:rsidR="00691754" w:rsidRPr="00691754">
        <w:rPr>
          <w:rFonts w:ascii="Neo Sans Pro" w:hAnsi="Neo Sans Pro" w:cs="Arial"/>
          <w:b/>
          <w:bCs/>
          <w:sz w:val="20"/>
          <w:szCs w:val="20"/>
        </w:rPr>
        <w:t>jurídico</w:t>
      </w:r>
      <w:r w:rsidRPr="00691754">
        <w:rPr>
          <w:rFonts w:ascii="Neo Sans Pro" w:hAnsi="Neo Sans Pro" w:cs="Arial"/>
          <w:b/>
          <w:bCs/>
          <w:sz w:val="20"/>
          <w:szCs w:val="20"/>
        </w:rPr>
        <w:t xml:space="preserve"> han sufrido algún cambio respecto del año anterior; señálelos en el cuadro siguiente y anexe copia de la publicación oficial.</w:t>
      </w:r>
    </w:p>
    <w:p w14:paraId="228D5E39" w14:textId="00DE7F61" w:rsidR="00580787" w:rsidRPr="00FE2459" w:rsidRDefault="00580787" w:rsidP="00580787">
      <w:pPr>
        <w:jc w:val="both"/>
        <w:rPr>
          <w:rFonts w:ascii="Neo Sans Pro" w:hAnsi="Neo Sans Pro" w:cs="Arial"/>
          <w:sz w:val="20"/>
          <w:szCs w:val="20"/>
        </w:rPr>
      </w:pPr>
    </w:p>
    <w:p w14:paraId="24648108" w14:textId="77777777" w:rsidR="00580787" w:rsidRPr="00FE2459" w:rsidRDefault="00580787" w:rsidP="00580787">
      <w:pPr>
        <w:jc w:val="both"/>
        <w:rPr>
          <w:rFonts w:ascii="Neo Sans Pro" w:hAnsi="Neo Sans Pro" w:cs="Arial"/>
          <w:sz w:val="20"/>
          <w:szCs w:val="20"/>
        </w:rPr>
      </w:pPr>
    </w:p>
    <w:tbl>
      <w:tblPr>
        <w:tblW w:w="8528" w:type="dxa"/>
        <w:jc w:val="center"/>
        <w:tblCellMar>
          <w:left w:w="70" w:type="dxa"/>
          <w:right w:w="70" w:type="dxa"/>
        </w:tblCellMar>
        <w:tblLook w:val="04A0" w:firstRow="1" w:lastRow="0" w:firstColumn="1" w:lastColumn="0" w:noHBand="0" w:noVBand="1"/>
      </w:tblPr>
      <w:tblGrid>
        <w:gridCol w:w="1007"/>
        <w:gridCol w:w="921"/>
        <w:gridCol w:w="869"/>
        <w:gridCol w:w="950"/>
        <w:gridCol w:w="953"/>
        <w:gridCol w:w="846"/>
        <w:gridCol w:w="959"/>
        <w:gridCol w:w="950"/>
        <w:gridCol w:w="1073"/>
      </w:tblGrid>
      <w:tr w:rsidR="00580787" w:rsidRPr="00FE2459" w14:paraId="65A6FC4D" w14:textId="77777777" w:rsidTr="00691754">
        <w:trPr>
          <w:trHeight w:val="262"/>
          <w:jc w:val="center"/>
        </w:trPr>
        <w:tc>
          <w:tcPr>
            <w:tcW w:w="1007"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3EB6DEF5" w14:textId="77777777" w:rsidR="00580787" w:rsidRPr="00FE2459" w:rsidRDefault="00580787" w:rsidP="004740DC">
            <w:pPr>
              <w:ind w:right="0"/>
              <w:rPr>
                <w:rFonts w:ascii="Neo Sans Pro" w:eastAsia="Times New Roman" w:hAnsi="Neo Sans Pro" w:cs="Arial"/>
                <w:b/>
                <w:bCs/>
                <w:color w:val="FFFFFF"/>
                <w:sz w:val="20"/>
                <w:szCs w:val="20"/>
                <w:lang w:eastAsia="es-MX"/>
              </w:rPr>
            </w:pPr>
            <w:bookmarkStart w:id="3" w:name="_MON_1422440100"/>
            <w:bookmarkEnd w:id="3"/>
            <w:r w:rsidRPr="00FE2459">
              <w:rPr>
                <w:rFonts w:ascii="Neo Sans Pro" w:eastAsia="Times New Roman" w:hAnsi="Neo Sans Pro" w:cs="Arial"/>
                <w:b/>
                <w:bCs/>
                <w:color w:val="FFFFFF"/>
                <w:sz w:val="20"/>
                <w:szCs w:val="20"/>
                <w:lang w:eastAsia="es-MX"/>
              </w:rPr>
              <w:t>Municipio</w:t>
            </w:r>
          </w:p>
        </w:tc>
        <w:tc>
          <w:tcPr>
            <w:tcW w:w="1790" w:type="dxa"/>
            <w:gridSpan w:val="2"/>
            <w:tcBorders>
              <w:top w:val="single" w:sz="4" w:space="0" w:color="auto"/>
              <w:left w:val="nil"/>
              <w:bottom w:val="single" w:sz="4" w:space="0" w:color="auto"/>
              <w:right w:val="single" w:sz="4" w:space="0" w:color="auto"/>
            </w:tcBorders>
            <w:shd w:val="clear" w:color="000000" w:fill="A6A6A6"/>
            <w:vAlign w:val="center"/>
            <w:hideMark/>
          </w:tcPr>
          <w:p w14:paraId="089428AF"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Tasa</w:t>
            </w:r>
          </w:p>
        </w:tc>
        <w:tc>
          <w:tcPr>
            <w:tcW w:w="1903" w:type="dxa"/>
            <w:gridSpan w:val="2"/>
            <w:tcBorders>
              <w:top w:val="single" w:sz="4" w:space="0" w:color="auto"/>
              <w:left w:val="nil"/>
              <w:bottom w:val="single" w:sz="4" w:space="0" w:color="auto"/>
              <w:right w:val="single" w:sz="4" w:space="0" w:color="000000"/>
            </w:tcBorders>
            <w:shd w:val="clear" w:color="000000" w:fill="A6A6A6"/>
            <w:vAlign w:val="center"/>
            <w:hideMark/>
          </w:tcPr>
          <w:p w14:paraId="36E98696"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Variación</w:t>
            </w:r>
          </w:p>
        </w:tc>
        <w:tc>
          <w:tcPr>
            <w:tcW w:w="1805" w:type="dxa"/>
            <w:gridSpan w:val="2"/>
            <w:tcBorders>
              <w:top w:val="single" w:sz="4" w:space="0" w:color="auto"/>
              <w:left w:val="nil"/>
              <w:bottom w:val="single" w:sz="4" w:space="0" w:color="auto"/>
              <w:right w:val="single" w:sz="4" w:space="0" w:color="000000"/>
            </w:tcBorders>
            <w:shd w:val="clear" w:color="000000" w:fill="A6A6A6"/>
            <w:vAlign w:val="center"/>
            <w:hideMark/>
          </w:tcPr>
          <w:p w14:paraId="37DCE722"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Costo metro cúbico</w:t>
            </w:r>
          </w:p>
        </w:tc>
        <w:tc>
          <w:tcPr>
            <w:tcW w:w="2023" w:type="dxa"/>
            <w:gridSpan w:val="2"/>
            <w:tcBorders>
              <w:top w:val="single" w:sz="4" w:space="0" w:color="auto"/>
              <w:left w:val="nil"/>
              <w:bottom w:val="single" w:sz="4" w:space="0" w:color="auto"/>
              <w:right w:val="single" w:sz="4" w:space="0" w:color="auto"/>
            </w:tcBorders>
            <w:shd w:val="clear" w:color="000000" w:fill="A6A6A6"/>
            <w:noWrap/>
            <w:vAlign w:val="bottom"/>
            <w:hideMark/>
          </w:tcPr>
          <w:p w14:paraId="309BD77F"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Variación</w:t>
            </w:r>
          </w:p>
        </w:tc>
      </w:tr>
      <w:tr w:rsidR="00580787" w:rsidRPr="00FE2459" w14:paraId="19E43A53" w14:textId="77777777" w:rsidTr="00691754">
        <w:trPr>
          <w:trHeight w:val="419"/>
          <w:jc w:val="center"/>
        </w:trPr>
        <w:tc>
          <w:tcPr>
            <w:tcW w:w="1007" w:type="dxa"/>
            <w:vMerge/>
            <w:tcBorders>
              <w:top w:val="single" w:sz="4" w:space="0" w:color="auto"/>
              <w:left w:val="single" w:sz="4" w:space="0" w:color="auto"/>
              <w:bottom w:val="single" w:sz="4" w:space="0" w:color="000000"/>
              <w:right w:val="single" w:sz="4" w:space="0" w:color="auto"/>
            </w:tcBorders>
            <w:vAlign w:val="center"/>
            <w:hideMark/>
          </w:tcPr>
          <w:p w14:paraId="5229F5A8" w14:textId="77777777" w:rsidR="00580787" w:rsidRPr="00FE2459" w:rsidRDefault="00580787" w:rsidP="004740DC">
            <w:pPr>
              <w:ind w:right="0"/>
              <w:jc w:val="left"/>
              <w:rPr>
                <w:rFonts w:ascii="Neo Sans Pro" w:eastAsia="Times New Roman" w:hAnsi="Neo Sans Pro" w:cs="Arial"/>
                <w:b/>
                <w:bCs/>
                <w:color w:val="FFFFFF"/>
                <w:sz w:val="20"/>
                <w:szCs w:val="20"/>
                <w:lang w:eastAsia="es-MX"/>
              </w:rPr>
            </w:pPr>
          </w:p>
        </w:tc>
        <w:tc>
          <w:tcPr>
            <w:tcW w:w="921" w:type="dxa"/>
            <w:tcBorders>
              <w:top w:val="nil"/>
              <w:left w:val="nil"/>
              <w:bottom w:val="single" w:sz="4" w:space="0" w:color="auto"/>
              <w:right w:val="single" w:sz="4" w:space="0" w:color="auto"/>
            </w:tcBorders>
            <w:shd w:val="clear" w:color="000000" w:fill="A6A6A6"/>
            <w:vAlign w:val="center"/>
            <w:hideMark/>
          </w:tcPr>
          <w:p w14:paraId="2EC20626" w14:textId="720884EB"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Año que informa</w:t>
            </w:r>
            <w:r w:rsidR="00147AD3">
              <w:rPr>
                <w:rFonts w:ascii="Neo Sans Pro" w:eastAsia="Times New Roman" w:hAnsi="Neo Sans Pro" w:cs="Arial"/>
                <w:b/>
                <w:bCs/>
                <w:color w:val="FFFFFF"/>
                <w:sz w:val="20"/>
                <w:szCs w:val="20"/>
                <w:lang w:eastAsia="es-MX"/>
              </w:rPr>
              <w:t xml:space="preserve"> 1</w:t>
            </w:r>
            <w:proofErr w:type="gramStart"/>
            <w:r w:rsidR="00147AD3">
              <w:rPr>
                <w:rFonts w:ascii="Neo Sans Pro" w:eastAsia="Times New Roman" w:hAnsi="Neo Sans Pro" w:cs="Arial"/>
                <w:b/>
                <w:bCs/>
                <w:color w:val="FFFFFF"/>
                <w:sz w:val="20"/>
                <w:szCs w:val="20"/>
                <w:lang w:eastAsia="es-MX"/>
              </w:rPr>
              <w:t>).-</w:t>
            </w:r>
            <w:proofErr w:type="gramEnd"/>
          </w:p>
        </w:tc>
        <w:tc>
          <w:tcPr>
            <w:tcW w:w="869" w:type="dxa"/>
            <w:tcBorders>
              <w:top w:val="nil"/>
              <w:left w:val="nil"/>
              <w:bottom w:val="single" w:sz="4" w:space="0" w:color="auto"/>
              <w:right w:val="single" w:sz="4" w:space="0" w:color="auto"/>
            </w:tcBorders>
            <w:shd w:val="clear" w:color="000000" w:fill="A6A6A6"/>
            <w:vAlign w:val="center"/>
            <w:hideMark/>
          </w:tcPr>
          <w:p w14:paraId="6472AAA8"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Año anterior</w:t>
            </w:r>
          </w:p>
        </w:tc>
        <w:tc>
          <w:tcPr>
            <w:tcW w:w="950" w:type="dxa"/>
            <w:tcBorders>
              <w:top w:val="nil"/>
              <w:left w:val="nil"/>
              <w:bottom w:val="single" w:sz="4" w:space="0" w:color="auto"/>
              <w:right w:val="single" w:sz="4" w:space="0" w:color="auto"/>
            </w:tcBorders>
            <w:shd w:val="clear" w:color="000000" w:fill="A6A6A6"/>
            <w:vAlign w:val="center"/>
            <w:hideMark/>
          </w:tcPr>
          <w:p w14:paraId="1E09DA7B"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Absoluta</w:t>
            </w:r>
          </w:p>
        </w:tc>
        <w:tc>
          <w:tcPr>
            <w:tcW w:w="953" w:type="dxa"/>
            <w:tcBorders>
              <w:top w:val="nil"/>
              <w:left w:val="nil"/>
              <w:bottom w:val="single" w:sz="4" w:space="0" w:color="auto"/>
              <w:right w:val="single" w:sz="4" w:space="0" w:color="auto"/>
            </w:tcBorders>
            <w:shd w:val="clear" w:color="000000" w:fill="A6A6A6"/>
            <w:vAlign w:val="center"/>
            <w:hideMark/>
          </w:tcPr>
          <w:p w14:paraId="7B0F664A"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Relativa</w:t>
            </w:r>
          </w:p>
        </w:tc>
        <w:tc>
          <w:tcPr>
            <w:tcW w:w="846" w:type="dxa"/>
            <w:tcBorders>
              <w:top w:val="nil"/>
              <w:left w:val="nil"/>
              <w:bottom w:val="single" w:sz="4" w:space="0" w:color="auto"/>
              <w:right w:val="single" w:sz="4" w:space="0" w:color="auto"/>
            </w:tcBorders>
            <w:shd w:val="clear" w:color="000000" w:fill="A6A6A6"/>
            <w:vAlign w:val="center"/>
            <w:hideMark/>
          </w:tcPr>
          <w:p w14:paraId="18D41B46"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Año que informa</w:t>
            </w:r>
          </w:p>
        </w:tc>
        <w:tc>
          <w:tcPr>
            <w:tcW w:w="959" w:type="dxa"/>
            <w:tcBorders>
              <w:top w:val="nil"/>
              <w:left w:val="nil"/>
              <w:bottom w:val="single" w:sz="4" w:space="0" w:color="auto"/>
              <w:right w:val="single" w:sz="4" w:space="0" w:color="auto"/>
            </w:tcBorders>
            <w:shd w:val="clear" w:color="000000" w:fill="A6A6A6"/>
            <w:vAlign w:val="center"/>
            <w:hideMark/>
          </w:tcPr>
          <w:p w14:paraId="1C26FF9C"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Año anterior</w:t>
            </w:r>
          </w:p>
        </w:tc>
        <w:tc>
          <w:tcPr>
            <w:tcW w:w="950" w:type="dxa"/>
            <w:tcBorders>
              <w:top w:val="nil"/>
              <w:left w:val="nil"/>
              <w:bottom w:val="single" w:sz="4" w:space="0" w:color="auto"/>
              <w:right w:val="single" w:sz="4" w:space="0" w:color="auto"/>
            </w:tcBorders>
            <w:shd w:val="clear" w:color="000000" w:fill="A6A6A6"/>
            <w:vAlign w:val="center"/>
            <w:hideMark/>
          </w:tcPr>
          <w:p w14:paraId="1F28B979"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Absoluta</w:t>
            </w:r>
          </w:p>
        </w:tc>
        <w:tc>
          <w:tcPr>
            <w:tcW w:w="1073" w:type="dxa"/>
            <w:tcBorders>
              <w:top w:val="nil"/>
              <w:left w:val="nil"/>
              <w:bottom w:val="single" w:sz="4" w:space="0" w:color="auto"/>
              <w:right w:val="single" w:sz="4" w:space="0" w:color="auto"/>
            </w:tcBorders>
            <w:shd w:val="clear" w:color="000000" w:fill="A6A6A6"/>
            <w:vAlign w:val="center"/>
            <w:hideMark/>
          </w:tcPr>
          <w:p w14:paraId="78601A77"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Relativa</w:t>
            </w:r>
          </w:p>
        </w:tc>
      </w:tr>
      <w:tr w:rsidR="00580787" w:rsidRPr="00FE2459" w14:paraId="14C36293" w14:textId="77777777" w:rsidTr="00691754">
        <w:trPr>
          <w:trHeight w:val="262"/>
          <w:jc w:val="center"/>
        </w:trPr>
        <w:tc>
          <w:tcPr>
            <w:tcW w:w="1007" w:type="dxa"/>
            <w:tcBorders>
              <w:top w:val="nil"/>
              <w:left w:val="single" w:sz="4" w:space="0" w:color="auto"/>
              <w:bottom w:val="single" w:sz="4" w:space="0" w:color="auto"/>
              <w:right w:val="single" w:sz="4" w:space="0" w:color="auto"/>
            </w:tcBorders>
            <w:shd w:val="clear" w:color="auto" w:fill="auto"/>
            <w:vAlign w:val="center"/>
            <w:hideMark/>
          </w:tcPr>
          <w:p w14:paraId="639E35A0" w14:textId="34805457" w:rsidR="00580787" w:rsidRPr="00FE2459" w:rsidRDefault="0058078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r w:rsidR="00821373" w:rsidRPr="00FE2459">
              <w:rPr>
                <w:rFonts w:ascii="Neo Sans Pro" w:eastAsia="Times New Roman" w:hAnsi="Neo Sans Pro" w:cs="Arial"/>
                <w:color w:val="000000"/>
                <w:sz w:val="20"/>
                <w:szCs w:val="20"/>
                <w:lang w:eastAsia="es-MX"/>
              </w:rPr>
              <w:t>Úrsulo Galván </w:t>
            </w:r>
          </w:p>
        </w:tc>
        <w:tc>
          <w:tcPr>
            <w:tcW w:w="921" w:type="dxa"/>
            <w:tcBorders>
              <w:top w:val="nil"/>
              <w:left w:val="nil"/>
              <w:bottom w:val="single" w:sz="4" w:space="0" w:color="auto"/>
              <w:right w:val="single" w:sz="4" w:space="0" w:color="auto"/>
            </w:tcBorders>
            <w:shd w:val="clear" w:color="auto" w:fill="auto"/>
            <w:vAlign w:val="center"/>
            <w:hideMark/>
          </w:tcPr>
          <w:p w14:paraId="477C3329" w14:textId="58F57FE8" w:rsidR="00580787" w:rsidRPr="00FE2459" w:rsidRDefault="00821373"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4.5%</w:t>
            </w:r>
            <w:r w:rsidR="00580787" w:rsidRPr="00FE2459">
              <w:rPr>
                <w:rFonts w:ascii="Neo Sans Pro" w:eastAsia="Times New Roman" w:hAnsi="Neo Sans Pro" w:cs="Arial"/>
                <w:color w:val="000000"/>
                <w:sz w:val="20"/>
                <w:szCs w:val="20"/>
                <w:lang w:eastAsia="es-MX"/>
              </w:rPr>
              <w:t> </w:t>
            </w:r>
          </w:p>
        </w:tc>
        <w:tc>
          <w:tcPr>
            <w:tcW w:w="869" w:type="dxa"/>
            <w:tcBorders>
              <w:top w:val="nil"/>
              <w:left w:val="nil"/>
              <w:bottom w:val="single" w:sz="4" w:space="0" w:color="auto"/>
              <w:right w:val="single" w:sz="4" w:space="0" w:color="auto"/>
            </w:tcBorders>
            <w:shd w:val="clear" w:color="auto" w:fill="auto"/>
            <w:vAlign w:val="center"/>
            <w:hideMark/>
          </w:tcPr>
          <w:p w14:paraId="02C3854A" w14:textId="4F0790F8" w:rsidR="00580787" w:rsidRPr="00FE2459" w:rsidRDefault="006A5D1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4.6%</w:t>
            </w:r>
          </w:p>
        </w:tc>
        <w:tc>
          <w:tcPr>
            <w:tcW w:w="950" w:type="dxa"/>
            <w:tcBorders>
              <w:top w:val="nil"/>
              <w:left w:val="nil"/>
              <w:bottom w:val="single" w:sz="4" w:space="0" w:color="auto"/>
              <w:right w:val="single" w:sz="4" w:space="0" w:color="auto"/>
            </w:tcBorders>
            <w:shd w:val="clear" w:color="auto" w:fill="auto"/>
            <w:vAlign w:val="center"/>
            <w:hideMark/>
          </w:tcPr>
          <w:p w14:paraId="21DD0FBF" w14:textId="77777777" w:rsidR="00580787" w:rsidRPr="00FE2459" w:rsidRDefault="0058078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953" w:type="dxa"/>
            <w:tcBorders>
              <w:top w:val="nil"/>
              <w:left w:val="nil"/>
              <w:bottom w:val="single" w:sz="4" w:space="0" w:color="auto"/>
              <w:right w:val="single" w:sz="4" w:space="0" w:color="auto"/>
            </w:tcBorders>
            <w:shd w:val="clear" w:color="auto" w:fill="auto"/>
            <w:vAlign w:val="center"/>
            <w:hideMark/>
          </w:tcPr>
          <w:p w14:paraId="38B1DE24" w14:textId="77777777" w:rsidR="00580787" w:rsidRPr="00FE2459" w:rsidRDefault="0058078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846" w:type="dxa"/>
            <w:tcBorders>
              <w:top w:val="nil"/>
              <w:left w:val="nil"/>
              <w:bottom w:val="single" w:sz="4" w:space="0" w:color="auto"/>
              <w:right w:val="single" w:sz="4" w:space="0" w:color="auto"/>
            </w:tcBorders>
            <w:shd w:val="clear" w:color="auto" w:fill="auto"/>
            <w:vAlign w:val="center"/>
            <w:hideMark/>
          </w:tcPr>
          <w:p w14:paraId="1AA3EE10" w14:textId="7D441E57" w:rsidR="00580787" w:rsidRPr="00FE2459" w:rsidRDefault="00147AD3" w:rsidP="004740DC">
            <w:pPr>
              <w:ind w:right="0"/>
              <w:rPr>
                <w:rFonts w:ascii="Neo Sans Pro" w:eastAsia="Times New Roman" w:hAnsi="Neo Sans Pro" w:cs="Arial"/>
                <w:color w:val="000000"/>
                <w:sz w:val="20"/>
                <w:szCs w:val="20"/>
                <w:lang w:eastAsia="es-MX"/>
              </w:rPr>
            </w:pPr>
            <w:r>
              <w:rPr>
                <w:rFonts w:ascii="Neo Sans Pro" w:eastAsia="Times New Roman" w:hAnsi="Neo Sans Pro" w:cs="Arial"/>
                <w:color w:val="000000"/>
                <w:sz w:val="20"/>
                <w:szCs w:val="20"/>
                <w:lang w:eastAsia="es-MX"/>
              </w:rPr>
              <w:t>2).-</w:t>
            </w:r>
          </w:p>
        </w:tc>
        <w:tc>
          <w:tcPr>
            <w:tcW w:w="959" w:type="dxa"/>
            <w:tcBorders>
              <w:top w:val="nil"/>
              <w:left w:val="nil"/>
              <w:bottom w:val="single" w:sz="4" w:space="0" w:color="auto"/>
              <w:right w:val="single" w:sz="4" w:space="0" w:color="auto"/>
            </w:tcBorders>
            <w:shd w:val="clear" w:color="auto" w:fill="auto"/>
            <w:vAlign w:val="center"/>
            <w:hideMark/>
          </w:tcPr>
          <w:p w14:paraId="1DF08D45" w14:textId="77777777" w:rsidR="00580787" w:rsidRPr="00FE2459" w:rsidRDefault="00580787" w:rsidP="004740DC">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950" w:type="dxa"/>
            <w:tcBorders>
              <w:top w:val="nil"/>
              <w:left w:val="nil"/>
              <w:bottom w:val="single" w:sz="4" w:space="0" w:color="auto"/>
              <w:right w:val="single" w:sz="4" w:space="0" w:color="auto"/>
            </w:tcBorders>
            <w:shd w:val="clear" w:color="auto" w:fill="auto"/>
            <w:noWrap/>
            <w:vAlign w:val="bottom"/>
            <w:hideMark/>
          </w:tcPr>
          <w:p w14:paraId="30683F0C"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073" w:type="dxa"/>
            <w:tcBorders>
              <w:top w:val="nil"/>
              <w:left w:val="nil"/>
              <w:bottom w:val="single" w:sz="4" w:space="0" w:color="auto"/>
              <w:right w:val="single" w:sz="4" w:space="0" w:color="auto"/>
            </w:tcBorders>
            <w:shd w:val="clear" w:color="auto" w:fill="auto"/>
            <w:noWrap/>
            <w:vAlign w:val="bottom"/>
            <w:hideMark/>
          </w:tcPr>
          <w:p w14:paraId="2A4784EE" w14:textId="77777777" w:rsidR="00580787" w:rsidRPr="00FE2459" w:rsidRDefault="00580787" w:rsidP="004740DC">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r w:rsidR="00147AD3" w:rsidRPr="00FE2459" w14:paraId="333A9296" w14:textId="77777777" w:rsidTr="00D86EA0">
        <w:trPr>
          <w:trHeight w:val="262"/>
          <w:jc w:val="center"/>
        </w:trPr>
        <w:tc>
          <w:tcPr>
            <w:tcW w:w="8528" w:type="dxa"/>
            <w:gridSpan w:val="9"/>
            <w:tcBorders>
              <w:top w:val="nil"/>
              <w:left w:val="single" w:sz="4" w:space="0" w:color="auto"/>
              <w:bottom w:val="single" w:sz="4" w:space="0" w:color="auto"/>
              <w:right w:val="single" w:sz="4" w:space="0" w:color="auto"/>
            </w:tcBorders>
            <w:shd w:val="clear" w:color="auto" w:fill="auto"/>
            <w:vAlign w:val="center"/>
            <w:hideMark/>
          </w:tcPr>
          <w:p w14:paraId="70CF4556" w14:textId="77777777" w:rsidR="00147AD3" w:rsidRDefault="00147AD3" w:rsidP="00147AD3">
            <w:pPr>
              <w:ind w:right="0"/>
              <w:jc w:val="both"/>
              <w:rPr>
                <w:rFonts w:ascii="Neo Sans Pro" w:hAnsi="Neo Sans Pro" w:cs="Arial"/>
                <w:sz w:val="20"/>
                <w:szCs w:val="20"/>
              </w:rPr>
            </w:pPr>
          </w:p>
          <w:p w14:paraId="5FA062AE" w14:textId="6BCD50C2" w:rsidR="00147AD3" w:rsidRDefault="00147AD3" w:rsidP="00147AD3">
            <w:pPr>
              <w:ind w:right="0"/>
              <w:jc w:val="both"/>
              <w:rPr>
                <w:rFonts w:ascii="Neo Sans Pro" w:hAnsi="Neo Sans Pro" w:cs="Arial"/>
                <w:sz w:val="20"/>
                <w:szCs w:val="20"/>
              </w:rPr>
            </w:pPr>
            <w:r>
              <w:rPr>
                <w:rFonts w:ascii="Neo Sans Pro" w:hAnsi="Neo Sans Pro" w:cs="Arial"/>
                <w:sz w:val="20"/>
                <w:szCs w:val="20"/>
              </w:rPr>
              <w:t>NOTAS:</w:t>
            </w:r>
          </w:p>
          <w:p w14:paraId="07FB3F56" w14:textId="4A441130" w:rsidR="00147AD3" w:rsidRDefault="00147AD3" w:rsidP="00147AD3">
            <w:pPr>
              <w:ind w:right="0"/>
              <w:jc w:val="both"/>
              <w:rPr>
                <w:rFonts w:ascii="Neo Sans Pro" w:hAnsi="Neo Sans Pro" w:cs="Arial"/>
                <w:sz w:val="20"/>
                <w:szCs w:val="20"/>
              </w:rPr>
            </w:pPr>
            <w:r>
              <w:rPr>
                <w:rFonts w:ascii="Neo Sans Pro" w:hAnsi="Neo Sans Pro" w:cs="Arial"/>
                <w:sz w:val="20"/>
                <w:szCs w:val="20"/>
              </w:rPr>
              <w:t xml:space="preserve">1).- </w:t>
            </w:r>
            <w:r w:rsidRPr="00FE2459">
              <w:rPr>
                <w:rFonts w:ascii="Neo Sans Pro" w:hAnsi="Neo Sans Pro" w:cs="Arial"/>
                <w:sz w:val="20"/>
                <w:szCs w:val="20"/>
              </w:rPr>
              <w:t>El incremento correspondiente al ejercicio 2024 fue del 4.6 por efectos de la UMA.</w:t>
            </w:r>
          </w:p>
          <w:p w14:paraId="07A68C58" w14:textId="38925AFB" w:rsidR="00913AD8" w:rsidRPr="00913AD8" w:rsidRDefault="00147AD3" w:rsidP="00913AD8">
            <w:pPr>
              <w:jc w:val="both"/>
              <w:rPr>
                <w:rFonts w:ascii="Neo Sans Pro" w:eastAsia="Times New Roman" w:hAnsi="Neo Sans Pro" w:cs="Arial"/>
                <w:sz w:val="20"/>
                <w:szCs w:val="20"/>
                <w:lang w:eastAsia="es-MX"/>
              </w:rPr>
            </w:pPr>
            <w:r>
              <w:rPr>
                <w:rFonts w:ascii="Neo Sans Pro" w:eastAsia="Times New Roman" w:hAnsi="Neo Sans Pro" w:cs="Arial"/>
                <w:color w:val="000000"/>
                <w:sz w:val="20"/>
                <w:szCs w:val="20"/>
                <w:lang w:eastAsia="es-MX"/>
              </w:rPr>
              <w:t xml:space="preserve">2.- </w:t>
            </w:r>
            <w:r w:rsidRPr="00913AD8">
              <w:rPr>
                <w:rFonts w:ascii="Neo Sans Pro" w:eastAsia="Times New Roman" w:hAnsi="Neo Sans Pro" w:cs="Arial"/>
                <w:color w:val="000000"/>
                <w:sz w:val="20"/>
                <w:szCs w:val="20"/>
                <w:lang w:eastAsia="es-MX"/>
              </w:rPr>
              <w:t>Como podrá observarse e</w:t>
            </w:r>
            <w:r w:rsidRPr="00913AD8">
              <w:rPr>
                <w:rFonts w:ascii="Neo Sans Pro" w:hAnsi="Neo Sans Pro" w:cs="Arial"/>
                <w:sz w:val="20"/>
                <w:szCs w:val="20"/>
              </w:rPr>
              <w:t>n el acta de cabildo número SO-</w:t>
            </w:r>
            <w:r w:rsidRPr="00913AD8">
              <w:rPr>
                <w:rFonts w:ascii="Neo Sans Pro" w:hAnsi="Neo Sans Pro" w:cs="Arial"/>
                <w:sz w:val="20"/>
                <w:szCs w:val="20"/>
              </w:rPr>
              <w:t>25 BIS/2024 de fecha 19 de diciembre del 2024</w:t>
            </w:r>
            <w:r w:rsidR="00913AD8">
              <w:rPr>
                <w:rFonts w:ascii="Neo Sans Pro" w:hAnsi="Neo Sans Pro" w:cs="Arial"/>
                <w:sz w:val="20"/>
                <w:szCs w:val="20"/>
              </w:rPr>
              <w:t xml:space="preserve">, </w:t>
            </w:r>
            <w:r w:rsidRPr="00913AD8">
              <w:rPr>
                <w:rFonts w:ascii="Neo Sans Pro" w:hAnsi="Neo Sans Pro" w:cs="Arial"/>
                <w:sz w:val="20"/>
                <w:szCs w:val="20"/>
              </w:rPr>
              <w:t xml:space="preserve">adjunta al presente, </w:t>
            </w:r>
            <w:r w:rsidR="00913AD8" w:rsidRPr="00913AD8">
              <w:rPr>
                <w:rFonts w:ascii="Neo Sans Pro" w:hAnsi="Neo Sans Pro" w:cs="Arial"/>
                <w:sz w:val="20"/>
                <w:szCs w:val="20"/>
              </w:rPr>
              <w:t xml:space="preserve">los </w:t>
            </w:r>
            <w:r w:rsidRPr="00913AD8">
              <w:rPr>
                <w:rFonts w:ascii="Neo Sans Pro" w:eastAsia="Times New Roman" w:hAnsi="Neo Sans Pro" w:cs="Arial"/>
                <w:b/>
                <w:bCs/>
                <w:sz w:val="20"/>
                <w:szCs w:val="20"/>
                <w:lang w:eastAsia="es-MX"/>
              </w:rPr>
              <w:t>Costo</w:t>
            </w:r>
            <w:r w:rsidR="00913AD8" w:rsidRPr="00913AD8">
              <w:rPr>
                <w:rFonts w:ascii="Neo Sans Pro" w:eastAsia="Times New Roman" w:hAnsi="Neo Sans Pro" w:cs="Arial"/>
                <w:b/>
                <w:bCs/>
                <w:sz w:val="20"/>
                <w:szCs w:val="20"/>
                <w:lang w:eastAsia="es-MX"/>
              </w:rPr>
              <w:t>s</w:t>
            </w:r>
            <w:r w:rsidRPr="00913AD8">
              <w:rPr>
                <w:rFonts w:ascii="Neo Sans Pro" w:eastAsia="Times New Roman" w:hAnsi="Neo Sans Pro" w:cs="Arial"/>
                <w:b/>
                <w:bCs/>
                <w:sz w:val="20"/>
                <w:szCs w:val="20"/>
                <w:lang w:eastAsia="es-MX"/>
              </w:rPr>
              <w:t xml:space="preserve"> </w:t>
            </w:r>
            <w:r w:rsidR="00913AD8" w:rsidRPr="00913AD8">
              <w:rPr>
                <w:rFonts w:ascii="Neo Sans Pro" w:eastAsia="Times New Roman" w:hAnsi="Neo Sans Pro" w:cs="Arial"/>
                <w:b/>
                <w:bCs/>
                <w:sz w:val="20"/>
                <w:szCs w:val="20"/>
                <w:lang w:eastAsia="es-MX"/>
              </w:rPr>
              <w:t xml:space="preserve">por </w:t>
            </w:r>
            <w:r w:rsidRPr="00913AD8">
              <w:rPr>
                <w:rFonts w:ascii="Neo Sans Pro" w:eastAsia="Times New Roman" w:hAnsi="Neo Sans Pro" w:cs="Arial"/>
                <w:b/>
                <w:bCs/>
                <w:sz w:val="20"/>
                <w:szCs w:val="20"/>
                <w:lang w:eastAsia="es-MX"/>
              </w:rPr>
              <w:t>metro cúbico</w:t>
            </w:r>
            <w:r w:rsidR="00913AD8" w:rsidRPr="00913AD8">
              <w:rPr>
                <w:rFonts w:ascii="Neo Sans Pro" w:eastAsia="Times New Roman" w:hAnsi="Neo Sans Pro" w:cs="Arial"/>
                <w:sz w:val="20"/>
                <w:szCs w:val="20"/>
                <w:lang w:eastAsia="es-MX"/>
              </w:rPr>
              <w:t xml:space="preserve"> de acuerdo con el tipo de usuario son variables </w:t>
            </w:r>
            <w:proofErr w:type="gramStart"/>
            <w:r w:rsidR="00913AD8" w:rsidRPr="00913AD8">
              <w:rPr>
                <w:rFonts w:ascii="Neo Sans Pro" w:eastAsia="Times New Roman" w:hAnsi="Neo Sans Pro" w:cs="Arial"/>
                <w:sz w:val="20"/>
                <w:szCs w:val="20"/>
                <w:lang w:eastAsia="es-MX"/>
              </w:rPr>
              <w:t>de acuerdo a</w:t>
            </w:r>
            <w:proofErr w:type="gramEnd"/>
            <w:r w:rsidR="00913AD8" w:rsidRPr="00913AD8">
              <w:rPr>
                <w:rFonts w:ascii="Neo Sans Pro" w:eastAsia="Times New Roman" w:hAnsi="Neo Sans Pro" w:cs="Arial"/>
                <w:sz w:val="20"/>
                <w:szCs w:val="20"/>
                <w:lang w:eastAsia="es-MX"/>
              </w:rPr>
              <w:t xml:space="preserve"> los rangos establecidos en la misma (información visible en la página 4 de 7 cuadro “TIPO DE USUARIO DOMÉSTICO”</w:t>
            </w:r>
            <w:r w:rsidR="00913AD8">
              <w:rPr>
                <w:rFonts w:ascii="Neo Sans Pro" w:eastAsia="Times New Roman" w:hAnsi="Neo Sans Pro" w:cs="Arial"/>
                <w:sz w:val="20"/>
                <w:szCs w:val="20"/>
                <w:lang w:eastAsia="es-MX"/>
              </w:rPr>
              <w:t xml:space="preserve"> y </w:t>
            </w:r>
            <w:r w:rsidR="00913AD8" w:rsidRPr="00913AD8">
              <w:rPr>
                <w:rFonts w:ascii="Neo Sans Pro" w:eastAsia="Times New Roman" w:hAnsi="Neo Sans Pro" w:cs="Arial"/>
                <w:sz w:val="20"/>
                <w:szCs w:val="20"/>
                <w:lang w:eastAsia="es-MX"/>
              </w:rPr>
              <w:t xml:space="preserve">“TIPO DE USUARIO </w:t>
            </w:r>
            <w:r w:rsidR="00913AD8">
              <w:rPr>
                <w:rFonts w:ascii="Neo Sans Pro" w:eastAsia="Times New Roman" w:hAnsi="Neo Sans Pro" w:cs="Arial"/>
                <w:sz w:val="20"/>
                <w:szCs w:val="20"/>
                <w:lang w:eastAsia="es-MX"/>
              </w:rPr>
              <w:t>INDUSTRIAL Y PÚBLICO</w:t>
            </w:r>
            <w:r w:rsidR="00913AD8" w:rsidRPr="00913AD8">
              <w:rPr>
                <w:rFonts w:ascii="Neo Sans Pro" w:eastAsia="Times New Roman" w:hAnsi="Neo Sans Pro" w:cs="Arial"/>
                <w:sz w:val="20"/>
                <w:szCs w:val="20"/>
                <w:lang w:eastAsia="es-MX"/>
              </w:rPr>
              <w:t>”</w:t>
            </w:r>
            <w:r w:rsidR="00913AD8">
              <w:rPr>
                <w:rFonts w:ascii="Neo Sans Pro" w:eastAsia="Times New Roman" w:hAnsi="Neo Sans Pro" w:cs="Arial"/>
                <w:sz w:val="20"/>
                <w:szCs w:val="20"/>
                <w:lang w:eastAsia="es-MX"/>
              </w:rPr>
              <w:t>; así como las tarifas de cuota fija visible en la tabla de las páginas 5 y 6 de 7. Estructura actualizada en el ejercicio 2024.</w:t>
            </w:r>
          </w:p>
          <w:p w14:paraId="070F6AA1" w14:textId="00B05481" w:rsidR="00147AD3" w:rsidRPr="00FE2459" w:rsidRDefault="00913AD8" w:rsidP="00913AD8">
            <w:pPr>
              <w:jc w:val="both"/>
              <w:rPr>
                <w:rFonts w:ascii="Neo Sans Pro" w:eastAsia="Times New Roman" w:hAnsi="Neo Sans Pro" w:cs="Arial"/>
                <w:color w:val="000000"/>
                <w:sz w:val="20"/>
                <w:szCs w:val="20"/>
                <w:lang w:eastAsia="es-MX"/>
              </w:rPr>
            </w:pPr>
            <w:r>
              <w:rPr>
                <w:rFonts w:ascii="Neo Sans Pro" w:eastAsia="Times New Roman" w:hAnsi="Neo Sans Pro" w:cs="Arial"/>
                <w:b/>
                <w:bCs/>
                <w:sz w:val="20"/>
                <w:szCs w:val="20"/>
                <w:lang w:eastAsia="es-MX"/>
              </w:rPr>
              <w:t xml:space="preserve"> </w:t>
            </w:r>
          </w:p>
          <w:p w14:paraId="52B2DFA5" w14:textId="65F2216D" w:rsidR="00147AD3" w:rsidRPr="00FE2459" w:rsidRDefault="00147AD3" w:rsidP="004740DC">
            <w:pPr>
              <w:ind w:right="0"/>
              <w:jc w:val="left"/>
              <w:rPr>
                <w:rFonts w:ascii="Neo Sans Pro" w:eastAsia="Times New Roman" w:hAnsi="Neo Sans Pro" w:cs="Arial"/>
                <w:color w:val="000000"/>
                <w:sz w:val="20"/>
                <w:szCs w:val="20"/>
                <w:lang w:eastAsia="es-MX"/>
              </w:rPr>
            </w:pPr>
          </w:p>
        </w:tc>
      </w:tr>
    </w:tbl>
    <w:p w14:paraId="195D1DED" w14:textId="77777777" w:rsidR="00147AD3" w:rsidRDefault="00147AD3" w:rsidP="00580787">
      <w:pPr>
        <w:jc w:val="both"/>
        <w:rPr>
          <w:rFonts w:ascii="Neo Sans Pro" w:hAnsi="Neo Sans Pro" w:cs="Arial"/>
          <w:sz w:val="20"/>
          <w:szCs w:val="20"/>
        </w:rPr>
      </w:pPr>
    </w:p>
    <w:p w14:paraId="6F35FA7F" w14:textId="77777777" w:rsidR="00147AD3" w:rsidRDefault="00147AD3" w:rsidP="00580787">
      <w:pPr>
        <w:jc w:val="both"/>
        <w:rPr>
          <w:rFonts w:ascii="Neo Sans Pro" w:hAnsi="Neo Sans Pro" w:cs="Arial"/>
          <w:sz w:val="20"/>
          <w:szCs w:val="20"/>
        </w:rPr>
      </w:pPr>
    </w:p>
    <w:p w14:paraId="22B47A82" w14:textId="2451BFC0" w:rsidR="00580787" w:rsidRPr="00913AD8" w:rsidRDefault="00580787" w:rsidP="00580787">
      <w:pPr>
        <w:jc w:val="both"/>
        <w:rPr>
          <w:rFonts w:ascii="Neo Sans Pro" w:hAnsi="Neo Sans Pro" w:cs="Arial"/>
          <w:b/>
          <w:bCs/>
          <w:sz w:val="20"/>
          <w:szCs w:val="20"/>
        </w:rPr>
      </w:pPr>
      <w:r w:rsidRPr="00913AD8">
        <w:rPr>
          <w:rFonts w:ascii="Neo Sans Pro" w:hAnsi="Neo Sans Pro" w:cs="Arial"/>
          <w:b/>
          <w:bCs/>
          <w:sz w:val="20"/>
          <w:szCs w:val="20"/>
        </w:rPr>
        <w:t>9. Señale el monto y porcentaje que aporta cada uno de los tipos de usos de la toma de agua en el total de la recaudación por Entidad y su comparación con el año anterior al que se informa</w:t>
      </w:r>
      <w:r w:rsidR="00C7249B" w:rsidRPr="00913AD8">
        <w:rPr>
          <w:rFonts w:ascii="Neo Sans Pro" w:hAnsi="Neo Sans Pro" w:cs="Arial"/>
          <w:b/>
          <w:bCs/>
          <w:sz w:val="20"/>
          <w:szCs w:val="20"/>
        </w:rPr>
        <w:t xml:space="preserve">: </w:t>
      </w:r>
    </w:p>
    <w:p w14:paraId="3752D1D0" w14:textId="77777777" w:rsidR="00C7249B" w:rsidRPr="00913AD8" w:rsidRDefault="00C7249B" w:rsidP="00580787">
      <w:pPr>
        <w:jc w:val="both"/>
        <w:rPr>
          <w:rFonts w:ascii="Neo Sans Pro" w:hAnsi="Neo Sans Pro" w:cs="Arial"/>
          <w:b/>
          <w:bCs/>
          <w:sz w:val="20"/>
          <w:szCs w:val="20"/>
        </w:rPr>
      </w:pPr>
    </w:p>
    <w:tbl>
      <w:tblPr>
        <w:tblW w:w="5000" w:type="pct"/>
        <w:tblCellMar>
          <w:left w:w="70" w:type="dxa"/>
          <w:right w:w="70" w:type="dxa"/>
        </w:tblCellMar>
        <w:tblLook w:val="04A0" w:firstRow="1" w:lastRow="0" w:firstColumn="1" w:lastColumn="0" w:noHBand="0" w:noVBand="1"/>
      </w:tblPr>
      <w:tblGrid>
        <w:gridCol w:w="562"/>
        <w:gridCol w:w="1843"/>
        <w:gridCol w:w="992"/>
        <w:gridCol w:w="853"/>
        <w:gridCol w:w="1416"/>
        <w:gridCol w:w="992"/>
        <w:gridCol w:w="1418"/>
        <w:gridCol w:w="752"/>
      </w:tblGrid>
      <w:tr w:rsidR="00C7249B" w:rsidRPr="00C7249B" w14:paraId="5B083DFE" w14:textId="77777777" w:rsidTr="00AF4537">
        <w:trPr>
          <w:trHeight w:val="288"/>
        </w:trPr>
        <w:tc>
          <w:tcPr>
            <w:tcW w:w="31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1904AB" w14:textId="77777777" w:rsidR="00C7249B" w:rsidRPr="00C7249B" w:rsidRDefault="00C7249B" w:rsidP="00AF4537">
            <w:pPr>
              <w:ind w:right="0"/>
              <w:rPr>
                <w:rFonts w:ascii="Neo Sans Pro" w:eastAsia="Times New Roman" w:hAnsi="Neo Sans Pro"/>
                <w:b/>
                <w:bCs/>
                <w:color w:val="FFFFFF"/>
                <w:sz w:val="14"/>
                <w:szCs w:val="14"/>
                <w:lang w:eastAsia="es-MX"/>
              </w:rPr>
            </w:pPr>
            <w:proofErr w:type="spellStart"/>
            <w:r w:rsidRPr="00C7249B">
              <w:rPr>
                <w:rFonts w:ascii="Neo Sans Pro" w:eastAsia="Times New Roman" w:hAnsi="Neo Sans Pro"/>
                <w:b/>
                <w:bCs/>
                <w:color w:val="FFFFFF"/>
                <w:sz w:val="14"/>
                <w:szCs w:val="14"/>
                <w:lang w:eastAsia="es-MX"/>
              </w:rPr>
              <w:t>Ref</w:t>
            </w:r>
            <w:proofErr w:type="spellEnd"/>
          </w:p>
        </w:tc>
        <w:tc>
          <w:tcPr>
            <w:tcW w:w="104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D4F887"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Uso de la Base con Medidor</w:t>
            </w:r>
          </w:p>
        </w:tc>
        <w:tc>
          <w:tcPr>
            <w:tcW w:w="1045" w:type="pct"/>
            <w:gridSpan w:val="2"/>
            <w:tcBorders>
              <w:top w:val="single" w:sz="4" w:space="0" w:color="auto"/>
              <w:left w:val="nil"/>
              <w:bottom w:val="single" w:sz="4" w:space="0" w:color="auto"/>
              <w:right w:val="single" w:sz="4" w:space="0" w:color="auto"/>
            </w:tcBorders>
            <w:shd w:val="clear" w:color="000000" w:fill="BFBFBF"/>
            <w:vAlign w:val="center"/>
            <w:hideMark/>
          </w:tcPr>
          <w:p w14:paraId="514F15CE"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No. De Usuarios</w:t>
            </w:r>
          </w:p>
        </w:tc>
        <w:tc>
          <w:tcPr>
            <w:tcW w:w="2593" w:type="pct"/>
            <w:gridSpan w:val="4"/>
            <w:tcBorders>
              <w:top w:val="single" w:sz="4" w:space="0" w:color="auto"/>
              <w:left w:val="nil"/>
              <w:bottom w:val="single" w:sz="4" w:space="0" w:color="auto"/>
              <w:right w:val="single" w:sz="4" w:space="0" w:color="auto"/>
            </w:tcBorders>
            <w:shd w:val="clear" w:color="000000" w:fill="BFBFBF"/>
            <w:vAlign w:val="center"/>
            <w:hideMark/>
          </w:tcPr>
          <w:p w14:paraId="6204539B" w14:textId="77777777" w:rsidR="00C7249B" w:rsidRPr="00C7249B" w:rsidRDefault="00C7249B" w:rsidP="00AF4537">
            <w:pPr>
              <w:ind w:right="0"/>
              <w:rPr>
                <w:rFonts w:ascii="Neo Sans Pro" w:eastAsia="Times New Roman" w:hAnsi="Neo Sans Pro"/>
                <w:b/>
                <w:bCs/>
                <w:color w:val="FFFFFF"/>
                <w:sz w:val="14"/>
                <w:szCs w:val="14"/>
                <w:lang w:eastAsia="es-MX"/>
              </w:rPr>
            </w:pPr>
            <w:proofErr w:type="gramStart"/>
            <w:r w:rsidRPr="00C7249B">
              <w:rPr>
                <w:rFonts w:ascii="Neo Sans Pro" w:eastAsia="Times New Roman" w:hAnsi="Neo Sans Pro"/>
                <w:b/>
                <w:bCs/>
                <w:color w:val="FFFFFF"/>
                <w:sz w:val="14"/>
                <w:szCs w:val="14"/>
                <w:lang w:eastAsia="es-MX"/>
              </w:rPr>
              <w:t>Total</w:t>
            </w:r>
            <w:proofErr w:type="gramEnd"/>
            <w:r w:rsidRPr="00C7249B">
              <w:rPr>
                <w:rFonts w:ascii="Neo Sans Pro" w:eastAsia="Times New Roman" w:hAnsi="Neo Sans Pro"/>
                <w:b/>
                <w:bCs/>
                <w:color w:val="FFFFFF"/>
                <w:sz w:val="14"/>
                <w:szCs w:val="14"/>
                <w:lang w:eastAsia="es-MX"/>
              </w:rPr>
              <w:t xml:space="preserve"> Recaudado</w:t>
            </w:r>
          </w:p>
        </w:tc>
      </w:tr>
      <w:tr w:rsidR="00C7249B" w:rsidRPr="00C7249B" w14:paraId="3404204C" w14:textId="77777777" w:rsidTr="00AF4537">
        <w:trPr>
          <w:trHeight w:val="864"/>
        </w:trPr>
        <w:tc>
          <w:tcPr>
            <w:tcW w:w="318" w:type="pct"/>
            <w:vMerge/>
            <w:tcBorders>
              <w:top w:val="single" w:sz="4" w:space="0" w:color="auto"/>
              <w:left w:val="single" w:sz="4" w:space="0" w:color="auto"/>
              <w:bottom w:val="single" w:sz="4" w:space="0" w:color="auto"/>
              <w:right w:val="single" w:sz="4" w:space="0" w:color="auto"/>
            </w:tcBorders>
            <w:vAlign w:val="center"/>
            <w:hideMark/>
          </w:tcPr>
          <w:p w14:paraId="663F2D8F" w14:textId="77777777" w:rsidR="00C7249B" w:rsidRPr="00C7249B" w:rsidRDefault="00C7249B" w:rsidP="00AF4537">
            <w:pPr>
              <w:ind w:right="0"/>
              <w:jc w:val="left"/>
              <w:rPr>
                <w:rFonts w:ascii="Neo Sans Pro" w:eastAsia="Times New Roman" w:hAnsi="Neo Sans Pro"/>
                <w:b/>
                <w:bCs/>
                <w:color w:val="FFFFFF"/>
                <w:sz w:val="14"/>
                <w:szCs w:val="14"/>
                <w:lang w:eastAsia="es-MX"/>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20C3C38F" w14:textId="77777777" w:rsidR="00C7249B" w:rsidRPr="00C7249B" w:rsidRDefault="00C7249B" w:rsidP="00AF4537">
            <w:pPr>
              <w:ind w:right="0"/>
              <w:jc w:val="left"/>
              <w:rPr>
                <w:rFonts w:ascii="Neo Sans Pro" w:eastAsia="Times New Roman" w:hAnsi="Neo Sans Pro"/>
                <w:b/>
                <w:bCs/>
                <w:color w:val="FFFFFF"/>
                <w:sz w:val="14"/>
                <w:szCs w:val="14"/>
                <w:lang w:eastAsia="es-MX"/>
              </w:rPr>
            </w:pPr>
          </w:p>
        </w:tc>
        <w:tc>
          <w:tcPr>
            <w:tcW w:w="562" w:type="pct"/>
            <w:tcBorders>
              <w:top w:val="nil"/>
              <w:left w:val="nil"/>
              <w:bottom w:val="single" w:sz="4" w:space="0" w:color="auto"/>
              <w:right w:val="single" w:sz="4" w:space="0" w:color="auto"/>
            </w:tcBorders>
            <w:shd w:val="clear" w:color="000000" w:fill="BFBFBF"/>
            <w:vAlign w:val="center"/>
            <w:hideMark/>
          </w:tcPr>
          <w:p w14:paraId="1131FB0D"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que se informa</w:t>
            </w:r>
          </w:p>
        </w:tc>
        <w:tc>
          <w:tcPr>
            <w:tcW w:w="483" w:type="pct"/>
            <w:tcBorders>
              <w:top w:val="nil"/>
              <w:left w:val="nil"/>
              <w:bottom w:val="single" w:sz="4" w:space="0" w:color="auto"/>
              <w:right w:val="single" w:sz="4" w:space="0" w:color="auto"/>
            </w:tcBorders>
            <w:shd w:val="clear" w:color="000000" w:fill="BFBFBF"/>
            <w:vAlign w:val="center"/>
            <w:hideMark/>
          </w:tcPr>
          <w:p w14:paraId="4578DABE"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anterior al que se informa</w:t>
            </w:r>
          </w:p>
        </w:tc>
        <w:tc>
          <w:tcPr>
            <w:tcW w:w="802" w:type="pct"/>
            <w:tcBorders>
              <w:top w:val="nil"/>
              <w:left w:val="nil"/>
              <w:bottom w:val="single" w:sz="4" w:space="0" w:color="auto"/>
              <w:right w:val="single" w:sz="4" w:space="0" w:color="auto"/>
            </w:tcBorders>
            <w:shd w:val="clear" w:color="000000" w:fill="BFBFBF"/>
            <w:vAlign w:val="center"/>
            <w:hideMark/>
          </w:tcPr>
          <w:p w14:paraId="486C8DA1"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que se informa</w:t>
            </w:r>
          </w:p>
        </w:tc>
        <w:tc>
          <w:tcPr>
            <w:tcW w:w="562" w:type="pct"/>
            <w:tcBorders>
              <w:top w:val="nil"/>
              <w:left w:val="nil"/>
              <w:bottom w:val="single" w:sz="4" w:space="0" w:color="auto"/>
              <w:right w:val="single" w:sz="4" w:space="0" w:color="auto"/>
            </w:tcBorders>
            <w:shd w:val="clear" w:color="000000" w:fill="BFBFBF"/>
            <w:vAlign w:val="center"/>
            <w:hideMark/>
          </w:tcPr>
          <w:p w14:paraId="078234D4"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 del total</w:t>
            </w:r>
          </w:p>
        </w:tc>
        <w:tc>
          <w:tcPr>
            <w:tcW w:w="803" w:type="pct"/>
            <w:tcBorders>
              <w:top w:val="nil"/>
              <w:left w:val="nil"/>
              <w:bottom w:val="single" w:sz="4" w:space="0" w:color="auto"/>
              <w:right w:val="single" w:sz="4" w:space="0" w:color="auto"/>
            </w:tcBorders>
            <w:shd w:val="clear" w:color="000000" w:fill="BFBFBF"/>
            <w:vAlign w:val="center"/>
            <w:hideMark/>
          </w:tcPr>
          <w:p w14:paraId="29316C9A"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anterior al que se informa</w:t>
            </w:r>
          </w:p>
        </w:tc>
        <w:tc>
          <w:tcPr>
            <w:tcW w:w="426" w:type="pct"/>
            <w:tcBorders>
              <w:top w:val="nil"/>
              <w:left w:val="nil"/>
              <w:bottom w:val="single" w:sz="4" w:space="0" w:color="auto"/>
              <w:right w:val="single" w:sz="4" w:space="0" w:color="auto"/>
            </w:tcBorders>
            <w:shd w:val="clear" w:color="000000" w:fill="BFBFBF"/>
            <w:vAlign w:val="center"/>
            <w:hideMark/>
          </w:tcPr>
          <w:p w14:paraId="682023A3"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 del total</w:t>
            </w:r>
          </w:p>
        </w:tc>
      </w:tr>
      <w:tr w:rsidR="00C7249B" w:rsidRPr="00C7249B" w14:paraId="65F08A8E"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1D57D5A9"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1</w:t>
            </w:r>
          </w:p>
        </w:tc>
        <w:tc>
          <w:tcPr>
            <w:tcW w:w="1044" w:type="pct"/>
            <w:tcBorders>
              <w:top w:val="nil"/>
              <w:left w:val="nil"/>
              <w:bottom w:val="single" w:sz="4" w:space="0" w:color="auto"/>
              <w:right w:val="single" w:sz="4" w:space="0" w:color="auto"/>
            </w:tcBorders>
            <w:shd w:val="clear" w:color="auto" w:fill="auto"/>
            <w:vAlign w:val="bottom"/>
            <w:hideMark/>
          </w:tcPr>
          <w:p w14:paraId="4DAC63E6" w14:textId="77777777" w:rsidR="00C7249B" w:rsidRPr="00C7249B" w:rsidRDefault="00C7249B" w:rsidP="00AF4537">
            <w:pPr>
              <w:ind w:right="0"/>
              <w:jc w:val="lef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Uso Domestico</w:t>
            </w:r>
          </w:p>
        </w:tc>
        <w:tc>
          <w:tcPr>
            <w:tcW w:w="562" w:type="pct"/>
            <w:tcBorders>
              <w:top w:val="nil"/>
              <w:left w:val="nil"/>
              <w:bottom w:val="single" w:sz="4" w:space="0" w:color="auto"/>
              <w:right w:val="single" w:sz="4" w:space="0" w:color="auto"/>
            </w:tcBorders>
            <w:shd w:val="clear" w:color="auto" w:fill="auto"/>
            <w:vAlign w:val="bottom"/>
            <w:hideMark/>
          </w:tcPr>
          <w:p w14:paraId="69814E89"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762</w:t>
            </w:r>
          </w:p>
        </w:tc>
        <w:tc>
          <w:tcPr>
            <w:tcW w:w="483" w:type="pct"/>
            <w:tcBorders>
              <w:top w:val="nil"/>
              <w:left w:val="nil"/>
              <w:bottom w:val="single" w:sz="4" w:space="0" w:color="auto"/>
              <w:right w:val="single" w:sz="4" w:space="0" w:color="auto"/>
            </w:tcBorders>
            <w:shd w:val="clear" w:color="auto" w:fill="auto"/>
            <w:vAlign w:val="bottom"/>
            <w:hideMark/>
          </w:tcPr>
          <w:p w14:paraId="20AED1C3"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773</w:t>
            </w:r>
          </w:p>
        </w:tc>
        <w:tc>
          <w:tcPr>
            <w:tcW w:w="802" w:type="pct"/>
            <w:tcBorders>
              <w:top w:val="nil"/>
              <w:left w:val="nil"/>
              <w:bottom w:val="single" w:sz="4" w:space="0" w:color="auto"/>
              <w:right w:val="single" w:sz="4" w:space="0" w:color="auto"/>
            </w:tcBorders>
            <w:shd w:val="clear" w:color="auto" w:fill="auto"/>
            <w:vAlign w:val="bottom"/>
            <w:hideMark/>
          </w:tcPr>
          <w:p w14:paraId="6DB1E035"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753,468.73 </w:t>
            </w:r>
          </w:p>
        </w:tc>
        <w:tc>
          <w:tcPr>
            <w:tcW w:w="562" w:type="pct"/>
            <w:tcBorders>
              <w:top w:val="nil"/>
              <w:left w:val="nil"/>
              <w:bottom w:val="single" w:sz="4" w:space="0" w:color="auto"/>
              <w:right w:val="single" w:sz="4" w:space="0" w:color="auto"/>
            </w:tcBorders>
            <w:shd w:val="clear" w:color="auto" w:fill="auto"/>
            <w:vAlign w:val="bottom"/>
            <w:hideMark/>
          </w:tcPr>
          <w:p w14:paraId="5BF33E33"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8.68%</w:t>
            </w:r>
          </w:p>
        </w:tc>
        <w:tc>
          <w:tcPr>
            <w:tcW w:w="803" w:type="pct"/>
            <w:tcBorders>
              <w:top w:val="nil"/>
              <w:left w:val="nil"/>
              <w:bottom w:val="single" w:sz="4" w:space="0" w:color="auto"/>
              <w:right w:val="single" w:sz="4" w:space="0" w:color="auto"/>
            </w:tcBorders>
            <w:shd w:val="clear" w:color="auto" w:fill="auto"/>
            <w:vAlign w:val="bottom"/>
            <w:hideMark/>
          </w:tcPr>
          <w:p w14:paraId="1DA60891"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772,036.88 </w:t>
            </w:r>
          </w:p>
        </w:tc>
        <w:tc>
          <w:tcPr>
            <w:tcW w:w="426" w:type="pct"/>
            <w:tcBorders>
              <w:top w:val="nil"/>
              <w:left w:val="nil"/>
              <w:bottom w:val="single" w:sz="4" w:space="0" w:color="auto"/>
              <w:right w:val="single" w:sz="4" w:space="0" w:color="auto"/>
            </w:tcBorders>
            <w:shd w:val="clear" w:color="auto" w:fill="auto"/>
            <w:vAlign w:val="bottom"/>
            <w:hideMark/>
          </w:tcPr>
          <w:p w14:paraId="05A35495"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10.68%</w:t>
            </w:r>
          </w:p>
        </w:tc>
      </w:tr>
      <w:tr w:rsidR="00C7249B" w:rsidRPr="00C7249B" w14:paraId="085A58C8"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58004CCA"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2</w:t>
            </w:r>
          </w:p>
        </w:tc>
        <w:tc>
          <w:tcPr>
            <w:tcW w:w="1044" w:type="pct"/>
            <w:tcBorders>
              <w:top w:val="nil"/>
              <w:left w:val="nil"/>
              <w:bottom w:val="single" w:sz="4" w:space="0" w:color="auto"/>
              <w:right w:val="single" w:sz="4" w:space="0" w:color="auto"/>
            </w:tcBorders>
            <w:shd w:val="clear" w:color="auto" w:fill="auto"/>
            <w:vAlign w:val="bottom"/>
            <w:hideMark/>
          </w:tcPr>
          <w:p w14:paraId="1E8ECE1B" w14:textId="77777777" w:rsidR="00C7249B" w:rsidRPr="00C7249B" w:rsidRDefault="00C7249B" w:rsidP="00AF4537">
            <w:pPr>
              <w:ind w:right="0"/>
              <w:jc w:val="lef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Uso No Domestico</w:t>
            </w:r>
          </w:p>
        </w:tc>
        <w:tc>
          <w:tcPr>
            <w:tcW w:w="562" w:type="pct"/>
            <w:tcBorders>
              <w:top w:val="nil"/>
              <w:left w:val="nil"/>
              <w:bottom w:val="single" w:sz="4" w:space="0" w:color="auto"/>
              <w:right w:val="single" w:sz="4" w:space="0" w:color="auto"/>
            </w:tcBorders>
            <w:shd w:val="clear" w:color="auto" w:fill="auto"/>
            <w:vAlign w:val="bottom"/>
            <w:hideMark/>
          </w:tcPr>
          <w:p w14:paraId="6785AAC9"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51</w:t>
            </w:r>
          </w:p>
        </w:tc>
        <w:tc>
          <w:tcPr>
            <w:tcW w:w="483" w:type="pct"/>
            <w:tcBorders>
              <w:top w:val="nil"/>
              <w:left w:val="nil"/>
              <w:bottom w:val="single" w:sz="4" w:space="0" w:color="auto"/>
              <w:right w:val="single" w:sz="4" w:space="0" w:color="auto"/>
            </w:tcBorders>
            <w:shd w:val="clear" w:color="auto" w:fill="auto"/>
            <w:vAlign w:val="bottom"/>
            <w:hideMark/>
          </w:tcPr>
          <w:p w14:paraId="0DF5DE14"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49</w:t>
            </w:r>
          </w:p>
        </w:tc>
        <w:tc>
          <w:tcPr>
            <w:tcW w:w="802" w:type="pct"/>
            <w:tcBorders>
              <w:top w:val="nil"/>
              <w:left w:val="nil"/>
              <w:bottom w:val="single" w:sz="4" w:space="0" w:color="auto"/>
              <w:right w:val="single" w:sz="4" w:space="0" w:color="auto"/>
            </w:tcBorders>
            <w:shd w:val="clear" w:color="auto" w:fill="auto"/>
            <w:vAlign w:val="bottom"/>
            <w:hideMark/>
          </w:tcPr>
          <w:p w14:paraId="2C555ED0"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263,815.93 </w:t>
            </w:r>
          </w:p>
        </w:tc>
        <w:tc>
          <w:tcPr>
            <w:tcW w:w="562" w:type="pct"/>
            <w:tcBorders>
              <w:top w:val="nil"/>
              <w:left w:val="nil"/>
              <w:bottom w:val="single" w:sz="4" w:space="0" w:color="auto"/>
              <w:right w:val="single" w:sz="4" w:space="0" w:color="auto"/>
            </w:tcBorders>
            <w:shd w:val="clear" w:color="auto" w:fill="auto"/>
            <w:vAlign w:val="bottom"/>
            <w:hideMark/>
          </w:tcPr>
          <w:p w14:paraId="62231838"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3.04%</w:t>
            </w:r>
          </w:p>
        </w:tc>
        <w:tc>
          <w:tcPr>
            <w:tcW w:w="803" w:type="pct"/>
            <w:tcBorders>
              <w:top w:val="nil"/>
              <w:left w:val="nil"/>
              <w:bottom w:val="single" w:sz="4" w:space="0" w:color="auto"/>
              <w:right w:val="single" w:sz="4" w:space="0" w:color="auto"/>
            </w:tcBorders>
            <w:shd w:val="clear" w:color="auto" w:fill="auto"/>
            <w:vAlign w:val="bottom"/>
            <w:hideMark/>
          </w:tcPr>
          <w:p w14:paraId="77650132"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143,025.99 </w:t>
            </w:r>
          </w:p>
        </w:tc>
        <w:tc>
          <w:tcPr>
            <w:tcW w:w="426" w:type="pct"/>
            <w:tcBorders>
              <w:top w:val="nil"/>
              <w:left w:val="nil"/>
              <w:bottom w:val="single" w:sz="4" w:space="0" w:color="auto"/>
              <w:right w:val="single" w:sz="4" w:space="0" w:color="auto"/>
            </w:tcBorders>
            <w:shd w:val="clear" w:color="auto" w:fill="auto"/>
            <w:vAlign w:val="bottom"/>
            <w:hideMark/>
          </w:tcPr>
          <w:p w14:paraId="78EBC7BB"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1.98%</w:t>
            </w:r>
          </w:p>
        </w:tc>
      </w:tr>
      <w:tr w:rsidR="00C7249B" w:rsidRPr="00C7249B" w14:paraId="69626955"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0D0CB046"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3</w:t>
            </w:r>
          </w:p>
        </w:tc>
        <w:tc>
          <w:tcPr>
            <w:tcW w:w="1044" w:type="pct"/>
            <w:tcBorders>
              <w:top w:val="nil"/>
              <w:left w:val="nil"/>
              <w:bottom w:val="single" w:sz="4" w:space="0" w:color="auto"/>
              <w:right w:val="single" w:sz="4" w:space="0" w:color="auto"/>
            </w:tcBorders>
            <w:shd w:val="clear" w:color="auto" w:fill="auto"/>
            <w:vAlign w:val="bottom"/>
            <w:hideMark/>
          </w:tcPr>
          <w:p w14:paraId="3AD32913" w14:textId="77777777" w:rsidR="00C7249B" w:rsidRPr="00C7249B" w:rsidRDefault="00C7249B" w:rsidP="00AF4537">
            <w:pPr>
              <w:ind w:right="0"/>
              <w:jc w:val="lef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Otro</w:t>
            </w:r>
          </w:p>
        </w:tc>
        <w:tc>
          <w:tcPr>
            <w:tcW w:w="562" w:type="pct"/>
            <w:tcBorders>
              <w:top w:val="nil"/>
              <w:left w:val="nil"/>
              <w:bottom w:val="single" w:sz="4" w:space="0" w:color="auto"/>
              <w:right w:val="single" w:sz="4" w:space="0" w:color="auto"/>
            </w:tcBorders>
            <w:shd w:val="clear" w:color="auto" w:fill="auto"/>
            <w:vAlign w:val="bottom"/>
            <w:hideMark/>
          </w:tcPr>
          <w:p w14:paraId="51DB87DB"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0</w:t>
            </w:r>
          </w:p>
        </w:tc>
        <w:tc>
          <w:tcPr>
            <w:tcW w:w="483" w:type="pct"/>
            <w:tcBorders>
              <w:top w:val="nil"/>
              <w:left w:val="nil"/>
              <w:bottom w:val="single" w:sz="4" w:space="0" w:color="auto"/>
              <w:right w:val="single" w:sz="4" w:space="0" w:color="auto"/>
            </w:tcBorders>
            <w:shd w:val="clear" w:color="auto" w:fill="auto"/>
            <w:vAlign w:val="bottom"/>
            <w:hideMark/>
          </w:tcPr>
          <w:p w14:paraId="6DF7C11C"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0</w:t>
            </w:r>
          </w:p>
        </w:tc>
        <w:tc>
          <w:tcPr>
            <w:tcW w:w="802" w:type="pct"/>
            <w:tcBorders>
              <w:top w:val="nil"/>
              <w:left w:val="nil"/>
              <w:bottom w:val="single" w:sz="4" w:space="0" w:color="auto"/>
              <w:right w:val="single" w:sz="4" w:space="0" w:color="auto"/>
            </w:tcBorders>
            <w:shd w:val="clear" w:color="auto" w:fill="auto"/>
            <w:vAlign w:val="bottom"/>
            <w:hideMark/>
          </w:tcPr>
          <w:p w14:paraId="54B8463B"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0</w:t>
            </w:r>
          </w:p>
        </w:tc>
        <w:tc>
          <w:tcPr>
            <w:tcW w:w="562" w:type="pct"/>
            <w:tcBorders>
              <w:top w:val="nil"/>
              <w:left w:val="nil"/>
              <w:bottom w:val="single" w:sz="4" w:space="0" w:color="auto"/>
              <w:right w:val="single" w:sz="4" w:space="0" w:color="auto"/>
            </w:tcBorders>
            <w:shd w:val="clear" w:color="auto" w:fill="auto"/>
            <w:vAlign w:val="bottom"/>
            <w:hideMark/>
          </w:tcPr>
          <w:p w14:paraId="3C6B3766" w14:textId="77777777" w:rsidR="00C7249B" w:rsidRPr="00C7249B" w:rsidRDefault="00C7249B" w:rsidP="00AF4537">
            <w:pPr>
              <w:ind w:right="0"/>
              <w:jc w:val="both"/>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w:t>
            </w:r>
          </w:p>
        </w:tc>
        <w:tc>
          <w:tcPr>
            <w:tcW w:w="803" w:type="pct"/>
            <w:tcBorders>
              <w:top w:val="nil"/>
              <w:left w:val="nil"/>
              <w:bottom w:val="single" w:sz="4" w:space="0" w:color="auto"/>
              <w:right w:val="single" w:sz="4" w:space="0" w:color="auto"/>
            </w:tcBorders>
            <w:shd w:val="clear" w:color="auto" w:fill="auto"/>
            <w:vAlign w:val="bottom"/>
            <w:hideMark/>
          </w:tcPr>
          <w:p w14:paraId="78392875"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   </w:t>
            </w:r>
          </w:p>
        </w:tc>
        <w:tc>
          <w:tcPr>
            <w:tcW w:w="426" w:type="pct"/>
            <w:tcBorders>
              <w:top w:val="nil"/>
              <w:left w:val="nil"/>
              <w:bottom w:val="single" w:sz="4" w:space="0" w:color="auto"/>
              <w:right w:val="single" w:sz="4" w:space="0" w:color="auto"/>
            </w:tcBorders>
            <w:shd w:val="clear" w:color="auto" w:fill="auto"/>
            <w:vAlign w:val="bottom"/>
            <w:hideMark/>
          </w:tcPr>
          <w:p w14:paraId="43D1F9A1"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w:t>
            </w:r>
          </w:p>
        </w:tc>
      </w:tr>
      <w:tr w:rsidR="00C7249B" w:rsidRPr="00913AD8" w14:paraId="26508517"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7F6FC588" w14:textId="77777777" w:rsidR="00C7249B" w:rsidRPr="00913AD8" w:rsidRDefault="00C7249B" w:rsidP="00AF4537">
            <w:pPr>
              <w:ind w:right="0"/>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4</w:t>
            </w:r>
          </w:p>
        </w:tc>
        <w:tc>
          <w:tcPr>
            <w:tcW w:w="1044" w:type="pct"/>
            <w:tcBorders>
              <w:top w:val="nil"/>
              <w:left w:val="nil"/>
              <w:bottom w:val="single" w:sz="4" w:space="0" w:color="auto"/>
              <w:right w:val="single" w:sz="4" w:space="0" w:color="auto"/>
            </w:tcBorders>
            <w:shd w:val="clear" w:color="auto" w:fill="auto"/>
            <w:vAlign w:val="bottom"/>
            <w:hideMark/>
          </w:tcPr>
          <w:p w14:paraId="7DF9E292" w14:textId="77777777" w:rsidR="00C7249B" w:rsidRPr="00913AD8" w:rsidRDefault="00C7249B" w:rsidP="00AF4537">
            <w:pPr>
              <w:ind w:right="0"/>
              <w:jc w:val="lef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Total</w:t>
            </w:r>
          </w:p>
        </w:tc>
        <w:tc>
          <w:tcPr>
            <w:tcW w:w="562" w:type="pct"/>
            <w:tcBorders>
              <w:top w:val="nil"/>
              <w:left w:val="nil"/>
              <w:bottom w:val="single" w:sz="4" w:space="0" w:color="auto"/>
              <w:right w:val="single" w:sz="4" w:space="0" w:color="auto"/>
            </w:tcBorders>
            <w:shd w:val="clear" w:color="auto" w:fill="auto"/>
            <w:vAlign w:val="bottom"/>
            <w:hideMark/>
          </w:tcPr>
          <w:p w14:paraId="7675F817"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813</w:t>
            </w:r>
          </w:p>
        </w:tc>
        <w:tc>
          <w:tcPr>
            <w:tcW w:w="483" w:type="pct"/>
            <w:tcBorders>
              <w:top w:val="nil"/>
              <w:left w:val="nil"/>
              <w:bottom w:val="single" w:sz="4" w:space="0" w:color="auto"/>
              <w:right w:val="single" w:sz="4" w:space="0" w:color="auto"/>
            </w:tcBorders>
            <w:shd w:val="clear" w:color="auto" w:fill="auto"/>
            <w:vAlign w:val="bottom"/>
            <w:hideMark/>
          </w:tcPr>
          <w:p w14:paraId="26BB90B4"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822</w:t>
            </w:r>
          </w:p>
        </w:tc>
        <w:tc>
          <w:tcPr>
            <w:tcW w:w="802" w:type="pct"/>
            <w:tcBorders>
              <w:top w:val="nil"/>
              <w:left w:val="nil"/>
              <w:bottom w:val="single" w:sz="4" w:space="0" w:color="auto"/>
              <w:right w:val="single" w:sz="4" w:space="0" w:color="auto"/>
            </w:tcBorders>
            <w:shd w:val="clear" w:color="auto" w:fill="auto"/>
            <w:vAlign w:val="bottom"/>
            <w:hideMark/>
          </w:tcPr>
          <w:p w14:paraId="04AB1718"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 xml:space="preserve"> $ 1,017,284.66 </w:t>
            </w:r>
          </w:p>
        </w:tc>
        <w:tc>
          <w:tcPr>
            <w:tcW w:w="562" w:type="pct"/>
            <w:tcBorders>
              <w:top w:val="nil"/>
              <w:left w:val="nil"/>
              <w:bottom w:val="single" w:sz="4" w:space="0" w:color="auto"/>
              <w:right w:val="single" w:sz="4" w:space="0" w:color="auto"/>
            </w:tcBorders>
            <w:shd w:val="clear" w:color="auto" w:fill="auto"/>
            <w:vAlign w:val="bottom"/>
            <w:hideMark/>
          </w:tcPr>
          <w:p w14:paraId="32A1B50F"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11.72%</w:t>
            </w:r>
          </w:p>
        </w:tc>
        <w:tc>
          <w:tcPr>
            <w:tcW w:w="803" w:type="pct"/>
            <w:tcBorders>
              <w:top w:val="nil"/>
              <w:left w:val="nil"/>
              <w:bottom w:val="single" w:sz="4" w:space="0" w:color="auto"/>
              <w:right w:val="single" w:sz="4" w:space="0" w:color="auto"/>
            </w:tcBorders>
            <w:shd w:val="clear" w:color="auto" w:fill="auto"/>
            <w:vAlign w:val="bottom"/>
            <w:hideMark/>
          </w:tcPr>
          <w:p w14:paraId="00ABC2EA"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 xml:space="preserve"> $      915,062.87 </w:t>
            </w:r>
          </w:p>
        </w:tc>
        <w:tc>
          <w:tcPr>
            <w:tcW w:w="426" w:type="pct"/>
            <w:tcBorders>
              <w:top w:val="nil"/>
              <w:left w:val="nil"/>
              <w:bottom w:val="single" w:sz="4" w:space="0" w:color="auto"/>
              <w:right w:val="single" w:sz="4" w:space="0" w:color="auto"/>
            </w:tcBorders>
            <w:shd w:val="clear" w:color="auto" w:fill="auto"/>
            <w:vAlign w:val="bottom"/>
            <w:hideMark/>
          </w:tcPr>
          <w:p w14:paraId="586142E7"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12.66%</w:t>
            </w:r>
          </w:p>
        </w:tc>
      </w:tr>
      <w:tr w:rsidR="00C7249B" w:rsidRPr="00C7249B" w14:paraId="6A6BE2EC" w14:textId="77777777" w:rsidTr="00AF4537">
        <w:trPr>
          <w:trHeight w:val="300"/>
        </w:trPr>
        <w:tc>
          <w:tcPr>
            <w:tcW w:w="318" w:type="pct"/>
            <w:vMerge w:val="restart"/>
            <w:tcBorders>
              <w:top w:val="nil"/>
              <w:left w:val="single" w:sz="4" w:space="0" w:color="auto"/>
              <w:bottom w:val="single" w:sz="4" w:space="0" w:color="auto"/>
              <w:right w:val="single" w:sz="4" w:space="0" w:color="auto"/>
            </w:tcBorders>
            <w:shd w:val="clear" w:color="000000" w:fill="BFBFBF"/>
            <w:vAlign w:val="center"/>
            <w:hideMark/>
          </w:tcPr>
          <w:p w14:paraId="7A0E9B3E" w14:textId="77777777" w:rsidR="00C7249B" w:rsidRPr="00C7249B" w:rsidRDefault="00C7249B" w:rsidP="00AF4537">
            <w:pPr>
              <w:ind w:right="0"/>
              <w:rPr>
                <w:rFonts w:ascii="Neo Sans Pro" w:eastAsia="Times New Roman" w:hAnsi="Neo Sans Pro"/>
                <w:b/>
                <w:bCs/>
                <w:color w:val="FFFFFF"/>
                <w:sz w:val="14"/>
                <w:szCs w:val="14"/>
                <w:lang w:eastAsia="es-MX"/>
              </w:rPr>
            </w:pPr>
            <w:proofErr w:type="spellStart"/>
            <w:r w:rsidRPr="00C7249B">
              <w:rPr>
                <w:rFonts w:ascii="Neo Sans Pro" w:eastAsia="Times New Roman" w:hAnsi="Neo Sans Pro"/>
                <w:b/>
                <w:bCs/>
                <w:color w:val="FFFFFF"/>
                <w:sz w:val="14"/>
                <w:szCs w:val="14"/>
                <w:lang w:eastAsia="es-MX"/>
              </w:rPr>
              <w:t>Ref</w:t>
            </w:r>
            <w:proofErr w:type="spellEnd"/>
          </w:p>
        </w:tc>
        <w:tc>
          <w:tcPr>
            <w:tcW w:w="1044" w:type="pct"/>
            <w:vMerge w:val="restart"/>
            <w:tcBorders>
              <w:top w:val="nil"/>
              <w:left w:val="single" w:sz="4" w:space="0" w:color="auto"/>
              <w:bottom w:val="single" w:sz="4" w:space="0" w:color="auto"/>
              <w:right w:val="single" w:sz="4" w:space="0" w:color="auto"/>
            </w:tcBorders>
            <w:shd w:val="clear" w:color="000000" w:fill="BFBFBF"/>
            <w:vAlign w:val="center"/>
            <w:hideMark/>
          </w:tcPr>
          <w:p w14:paraId="1D669C33"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Uso de la Base Sin Medidor</w:t>
            </w:r>
          </w:p>
        </w:tc>
        <w:tc>
          <w:tcPr>
            <w:tcW w:w="1045" w:type="pct"/>
            <w:gridSpan w:val="2"/>
            <w:tcBorders>
              <w:top w:val="single" w:sz="4" w:space="0" w:color="auto"/>
              <w:left w:val="nil"/>
              <w:bottom w:val="single" w:sz="4" w:space="0" w:color="auto"/>
              <w:right w:val="single" w:sz="4" w:space="0" w:color="auto"/>
            </w:tcBorders>
            <w:shd w:val="clear" w:color="000000" w:fill="BFBFBF"/>
            <w:vAlign w:val="center"/>
            <w:hideMark/>
          </w:tcPr>
          <w:p w14:paraId="048321FA"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No. De Usuarios</w:t>
            </w:r>
          </w:p>
        </w:tc>
        <w:tc>
          <w:tcPr>
            <w:tcW w:w="2593" w:type="pct"/>
            <w:gridSpan w:val="4"/>
            <w:tcBorders>
              <w:top w:val="single" w:sz="4" w:space="0" w:color="auto"/>
              <w:left w:val="nil"/>
              <w:bottom w:val="single" w:sz="4" w:space="0" w:color="auto"/>
              <w:right w:val="single" w:sz="4" w:space="0" w:color="auto"/>
            </w:tcBorders>
            <w:shd w:val="clear" w:color="000000" w:fill="BFBFBF"/>
            <w:vAlign w:val="center"/>
            <w:hideMark/>
          </w:tcPr>
          <w:p w14:paraId="35BB384E" w14:textId="77777777" w:rsidR="00C7249B" w:rsidRPr="00C7249B" w:rsidRDefault="00C7249B" w:rsidP="00AF4537">
            <w:pPr>
              <w:ind w:right="0"/>
              <w:rPr>
                <w:rFonts w:ascii="Neo Sans Pro" w:eastAsia="Times New Roman" w:hAnsi="Neo Sans Pro"/>
                <w:b/>
                <w:bCs/>
                <w:color w:val="FFFFFF"/>
                <w:sz w:val="14"/>
                <w:szCs w:val="14"/>
                <w:lang w:eastAsia="es-MX"/>
              </w:rPr>
            </w:pPr>
            <w:proofErr w:type="gramStart"/>
            <w:r w:rsidRPr="00C7249B">
              <w:rPr>
                <w:rFonts w:ascii="Neo Sans Pro" w:eastAsia="Times New Roman" w:hAnsi="Neo Sans Pro"/>
                <w:b/>
                <w:bCs/>
                <w:color w:val="FFFFFF"/>
                <w:sz w:val="14"/>
                <w:szCs w:val="14"/>
                <w:lang w:eastAsia="es-MX"/>
              </w:rPr>
              <w:t>Total</w:t>
            </w:r>
            <w:proofErr w:type="gramEnd"/>
            <w:r w:rsidRPr="00C7249B">
              <w:rPr>
                <w:rFonts w:ascii="Neo Sans Pro" w:eastAsia="Times New Roman" w:hAnsi="Neo Sans Pro"/>
                <w:b/>
                <w:bCs/>
                <w:color w:val="FFFFFF"/>
                <w:sz w:val="14"/>
                <w:szCs w:val="14"/>
                <w:lang w:eastAsia="es-MX"/>
              </w:rPr>
              <w:t xml:space="preserve"> Recaudado</w:t>
            </w:r>
          </w:p>
        </w:tc>
      </w:tr>
      <w:tr w:rsidR="00C7249B" w:rsidRPr="00C7249B" w14:paraId="0927FF38" w14:textId="77777777" w:rsidTr="00AF4537">
        <w:trPr>
          <w:trHeight w:val="864"/>
        </w:trPr>
        <w:tc>
          <w:tcPr>
            <w:tcW w:w="318" w:type="pct"/>
            <w:vMerge/>
            <w:tcBorders>
              <w:top w:val="nil"/>
              <w:left w:val="single" w:sz="4" w:space="0" w:color="auto"/>
              <w:bottom w:val="single" w:sz="4" w:space="0" w:color="auto"/>
              <w:right w:val="single" w:sz="4" w:space="0" w:color="auto"/>
            </w:tcBorders>
            <w:vAlign w:val="center"/>
            <w:hideMark/>
          </w:tcPr>
          <w:p w14:paraId="47ED68BA" w14:textId="77777777" w:rsidR="00C7249B" w:rsidRPr="00C7249B" w:rsidRDefault="00C7249B" w:rsidP="00AF4537">
            <w:pPr>
              <w:ind w:right="0"/>
              <w:jc w:val="left"/>
              <w:rPr>
                <w:rFonts w:ascii="Neo Sans Pro" w:eastAsia="Times New Roman" w:hAnsi="Neo Sans Pro"/>
                <w:b/>
                <w:bCs/>
                <w:color w:val="FFFFFF"/>
                <w:sz w:val="14"/>
                <w:szCs w:val="14"/>
                <w:lang w:eastAsia="es-MX"/>
              </w:rPr>
            </w:pPr>
          </w:p>
        </w:tc>
        <w:tc>
          <w:tcPr>
            <w:tcW w:w="1044" w:type="pct"/>
            <w:vMerge/>
            <w:tcBorders>
              <w:top w:val="nil"/>
              <w:left w:val="single" w:sz="4" w:space="0" w:color="auto"/>
              <w:bottom w:val="single" w:sz="4" w:space="0" w:color="auto"/>
              <w:right w:val="single" w:sz="4" w:space="0" w:color="auto"/>
            </w:tcBorders>
            <w:vAlign w:val="center"/>
            <w:hideMark/>
          </w:tcPr>
          <w:p w14:paraId="79D77E1C" w14:textId="77777777" w:rsidR="00C7249B" w:rsidRPr="00C7249B" w:rsidRDefault="00C7249B" w:rsidP="00AF4537">
            <w:pPr>
              <w:ind w:right="0"/>
              <w:jc w:val="left"/>
              <w:rPr>
                <w:rFonts w:ascii="Neo Sans Pro" w:eastAsia="Times New Roman" w:hAnsi="Neo Sans Pro"/>
                <w:b/>
                <w:bCs/>
                <w:color w:val="FFFFFF"/>
                <w:sz w:val="14"/>
                <w:szCs w:val="14"/>
                <w:lang w:eastAsia="es-MX"/>
              </w:rPr>
            </w:pPr>
          </w:p>
        </w:tc>
        <w:tc>
          <w:tcPr>
            <w:tcW w:w="562" w:type="pct"/>
            <w:tcBorders>
              <w:top w:val="nil"/>
              <w:left w:val="nil"/>
              <w:bottom w:val="single" w:sz="4" w:space="0" w:color="auto"/>
              <w:right w:val="single" w:sz="4" w:space="0" w:color="auto"/>
            </w:tcBorders>
            <w:shd w:val="clear" w:color="000000" w:fill="BFBFBF"/>
            <w:vAlign w:val="center"/>
            <w:hideMark/>
          </w:tcPr>
          <w:p w14:paraId="5B0DF081"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que se informa</w:t>
            </w:r>
          </w:p>
        </w:tc>
        <w:tc>
          <w:tcPr>
            <w:tcW w:w="483" w:type="pct"/>
            <w:tcBorders>
              <w:top w:val="nil"/>
              <w:left w:val="nil"/>
              <w:bottom w:val="single" w:sz="4" w:space="0" w:color="auto"/>
              <w:right w:val="single" w:sz="4" w:space="0" w:color="auto"/>
            </w:tcBorders>
            <w:shd w:val="clear" w:color="000000" w:fill="BFBFBF"/>
            <w:vAlign w:val="center"/>
            <w:hideMark/>
          </w:tcPr>
          <w:p w14:paraId="40D07A47"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anterior al que se informa</w:t>
            </w:r>
          </w:p>
        </w:tc>
        <w:tc>
          <w:tcPr>
            <w:tcW w:w="802" w:type="pct"/>
            <w:tcBorders>
              <w:top w:val="nil"/>
              <w:left w:val="nil"/>
              <w:bottom w:val="single" w:sz="4" w:space="0" w:color="auto"/>
              <w:right w:val="single" w:sz="4" w:space="0" w:color="auto"/>
            </w:tcBorders>
            <w:shd w:val="clear" w:color="000000" w:fill="BFBFBF"/>
            <w:vAlign w:val="center"/>
            <w:hideMark/>
          </w:tcPr>
          <w:p w14:paraId="18EFC179"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que se informa</w:t>
            </w:r>
          </w:p>
        </w:tc>
        <w:tc>
          <w:tcPr>
            <w:tcW w:w="562" w:type="pct"/>
            <w:tcBorders>
              <w:top w:val="nil"/>
              <w:left w:val="nil"/>
              <w:bottom w:val="single" w:sz="4" w:space="0" w:color="auto"/>
              <w:right w:val="single" w:sz="4" w:space="0" w:color="auto"/>
            </w:tcBorders>
            <w:shd w:val="clear" w:color="000000" w:fill="BFBFBF"/>
            <w:vAlign w:val="center"/>
            <w:hideMark/>
          </w:tcPr>
          <w:p w14:paraId="40DE03F7"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 del total</w:t>
            </w:r>
          </w:p>
        </w:tc>
        <w:tc>
          <w:tcPr>
            <w:tcW w:w="803" w:type="pct"/>
            <w:tcBorders>
              <w:top w:val="nil"/>
              <w:left w:val="nil"/>
              <w:bottom w:val="single" w:sz="4" w:space="0" w:color="auto"/>
              <w:right w:val="single" w:sz="4" w:space="0" w:color="auto"/>
            </w:tcBorders>
            <w:shd w:val="clear" w:color="000000" w:fill="BFBFBF"/>
            <w:vAlign w:val="center"/>
            <w:hideMark/>
          </w:tcPr>
          <w:p w14:paraId="204AFFBC"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Año anterior al que se informa</w:t>
            </w:r>
          </w:p>
        </w:tc>
        <w:tc>
          <w:tcPr>
            <w:tcW w:w="426" w:type="pct"/>
            <w:tcBorders>
              <w:top w:val="nil"/>
              <w:left w:val="nil"/>
              <w:bottom w:val="single" w:sz="4" w:space="0" w:color="auto"/>
              <w:right w:val="single" w:sz="4" w:space="0" w:color="auto"/>
            </w:tcBorders>
            <w:shd w:val="clear" w:color="000000" w:fill="BFBFBF"/>
            <w:vAlign w:val="center"/>
            <w:hideMark/>
          </w:tcPr>
          <w:p w14:paraId="7841A370" w14:textId="77777777" w:rsidR="00C7249B" w:rsidRPr="00C7249B" w:rsidRDefault="00C7249B" w:rsidP="00AF4537">
            <w:pPr>
              <w:ind w:right="0"/>
              <w:rPr>
                <w:rFonts w:ascii="Neo Sans Pro" w:eastAsia="Times New Roman" w:hAnsi="Neo Sans Pro"/>
                <w:b/>
                <w:bCs/>
                <w:color w:val="FFFFFF"/>
                <w:sz w:val="14"/>
                <w:szCs w:val="14"/>
                <w:lang w:eastAsia="es-MX"/>
              </w:rPr>
            </w:pPr>
            <w:r w:rsidRPr="00C7249B">
              <w:rPr>
                <w:rFonts w:ascii="Neo Sans Pro" w:eastAsia="Times New Roman" w:hAnsi="Neo Sans Pro"/>
                <w:b/>
                <w:bCs/>
                <w:color w:val="FFFFFF"/>
                <w:sz w:val="14"/>
                <w:szCs w:val="14"/>
                <w:lang w:eastAsia="es-MX"/>
              </w:rPr>
              <w:t>% del total</w:t>
            </w:r>
          </w:p>
        </w:tc>
      </w:tr>
      <w:tr w:rsidR="00C7249B" w:rsidRPr="00C7249B" w14:paraId="02642232"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5E76C0D0"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5</w:t>
            </w:r>
          </w:p>
        </w:tc>
        <w:tc>
          <w:tcPr>
            <w:tcW w:w="1044" w:type="pct"/>
            <w:tcBorders>
              <w:top w:val="nil"/>
              <w:left w:val="nil"/>
              <w:bottom w:val="single" w:sz="4" w:space="0" w:color="auto"/>
              <w:right w:val="single" w:sz="4" w:space="0" w:color="auto"/>
            </w:tcBorders>
            <w:shd w:val="clear" w:color="auto" w:fill="auto"/>
            <w:vAlign w:val="bottom"/>
            <w:hideMark/>
          </w:tcPr>
          <w:p w14:paraId="0CCFD19E" w14:textId="77777777" w:rsidR="00C7249B" w:rsidRPr="00C7249B" w:rsidRDefault="00C7249B" w:rsidP="00AF4537">
            <w:pPr>
              <w:ind w:right="0"/>
              <w:jc w:val="lef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Uso Domestico</w:t>
            </w:r>
          </w:p>
        </w:tc>
        <w:tc>
          <w:tcPr>
            <w:tcW w:w="562" w:type="pct"/>
            <w:tcBorders>
              <w:top w:val="nil"/>
              <w:left w:val="nil"/>
              <w:bottom w:val="single" w:sz="4" w:space="0" w:color="auto"/>
              <w:right w:val="single" w:sz="4" w:space="0" w:color="auto"/>
            </w:tcBorders>
            <w:shd w:val="clear" w:color="auto" w:fill="auto"/>
            <w:vAlign w:val="bottom"/>
            <w:hideMark/>
          </w:tcPr>
          <w:p w14:paraId="1BA95D03"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7062</w:t>
            </w:r>
          </w:p>
        </w:tc>
        <w:tc>
          <w:tcPr>
            <w:tcW w:w="483" w:type="pct"/>
            <w:tcBorders>
              <w:top w:val="nil"/>
              <w:left w:val="nil"/>
              <w:bottom w:val="single" w:sz="4" w:space="0" w:color="auto"/>
              <w:right w:val="single" w:sz="4" w:space="0" w:color="auto"/>
            </w:tcBorders>
            <w:shd w:val="clear" w:color="auto" w:fill="auto"/>
            <w:vAlign w:val="bottom"/>
            <w:hideMark/>
          </w:tcPr>
          <w:p w14:paraId="4B6201EC"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6973</w:t>
            </w:r>
          </w:p>
        </w:tc>
        <w:tc>
          <w:tcPr>
            <w:tcW w:w="802" w:type="pct"/>
            <w:tcBorders>
              <w:top w:val="nil"/>
              <w:left w:val="nil"/>
              <w:bottom w:val="single" w:sz="4" w:space="0" w:color="auto"/>
              <w:right w:val="single" w:sz="4" w:space="0" w:color="auto"/>
            </w:tcBorders>
            <w:shd w:val="clear" w:color="auto" w:fill="auto"/>
            <w:vAlign w:val="bottom"/>
            <w:hideMark/>
          </w:tcPr>
          <w:p w14:paraId="09F09FAB"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$ 7,155,149.78 </w:t>
            </w:r>
          </w:p>
        </w:tc>
        <w:tc>
          <w:tcPr>
            <w:tcW w:w="562" w:type="pct"/>
            <w:tcBorders>
              <w:top w:val="nil"/>
              <w:left w:val="nil"/>
              <w:bottom w:val="single" w:sz="4" w:space="0" w:color="auto"/>
              <w:right w:val="single" w:sz="4" w:space="0" w:color="auto"/>
            </w:tcBorders>
            <w:shd w:val="clear" w:color="auto" w:fill="auto"/>
            <w:vAlign w:val="bottom"/>
            <w:hideMark/>
          </w:tcPr>
          <w:p w14:paraId="6F2A09EE"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82.40%</w:t>
            </w:r>
          </w:p>
        </w:tc>
        <w:tc>
          <w:tcPr>
            <w:tcW w:w="803" w:type="pct"/>
            <w:tcBorders>
              <w:top w:val="nil"/>
              <w:left w:val="nil"/>
              <w:bottom w:val="single" w:sz="4" w:space="0" w:color="auto"/>
              <w:right w:val="single" w:sz="4" w:space="0" w:color="auto"/>
            </w:tcBorders>
            <w:shd w:val="clear" w:color="auto" w:fill="auto"/>
            <w:vAlign w:val="bottom"/>
            <w:hideMark/>
          </w:tcPr>
          <w:p w14:paraId="3ACBF31C"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$ 5,958,881.81 </w:t>
            </w:r>
          </w:p>
        </w:tc>
        <w:tc>
          <w:tcPr>
            <w:tcW w:w="426" w:type="pct"/>
            <w:tcBorders>
              <w:top w:val="nil"/>
              <w:left w:val="nil"/>
              <w:bottom w:val="single" w:sz="4" w:space="0" w:color="auto"/>
              <w:right w:val="single" w:sz="4" w:space="0" w:color="auto"/>
            </w:tcBorders>
            <w:shd w:val="clear" w:color="auto" w:fill="auto"/>
            <w:vAlign w:val="bottom"/>
            <w:hideMark/>
          </w:tcPr>
          <w:p w14:paraId="3D3A588E"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82.46%</w:t>
            </w:r>
          </w:p>
        </w:tc>
      </w:tr>
      <w:tr w:rsidR="00C7249B" w:rsidRPr="00C7249B" w14:paraId="1BF2BA37"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56808D23"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6</w:t>
            </w:r>
          </w:p>
        </w:tc>
        <w:tc>
          <w:tcPr>
            <w:tcW w:w="1044" w:type="pct"/>
            <w:tcBorders>
              <w:top w:val="nil"/>
              <w:left w:val="nil"/>
              <w:bottom w:val="single" w:sz="4" w:space="0" w:color="auto"/>
              <w:right w:val="single" w:sz="4" w:space="0" w:color="auto"/>
            </w:tcBorders>
            <w:shd w:val="clear" w:color="auto" w:fill="auto"/>
            <w:vAlign w:val="bottom"/>
            <w:hideMark/>
          </w:tcPr>
          <w:p w14:paraId="1CB361AB" w14:textId="77777777" w:rsidR="00C7249B" w:rsidRPr="00C7249B" w:rsidRDefault="00C7249B" w:rsidP="00AF4537">
            <w:pPr>
              <w:ind w:right="0"/>
              <w:jc w:val="lef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Uso No Domestico</w:t>
            </w:r>
          </w:p>
        </w:tc>
        <w:tc>
          <w:tcPr>
            <w:tcW w:w="562" w:type="pct"/>
            <w:tcBorders>
              <w:top w:val="nil"/>
              <w:left w:val="nil"/>
              <w:bottom w:val="single" w:sz="4" w:space="0" w:color="auto"/>
              <w:right w:val="single" w:sz="4" w:space="0" w:color="auto"/>
            </w:tcBorders>
            <w:shd w:val="clear" w:color="auto" w:fill="auto"/>
            <w:vAlign w:val="bottom"/>
            <w:hideMark/>
          </w:tcPr>
          <w:p w14:paraId="28B6A175"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220</w:t>
            </w:r>
          </w:p>
        </w:tc>
        <w:tc>
          <w:tcPr>
            <w:tcW w:w="483" w:type="pct"/>
            <w:tcBorders>
              <w:top w:val="nil"/>
              <w:left w:val="nil"/>
              <w:bottom w:val="single" w:sz="4" w:space="0" w:color="auto"/>
              <w:right w:val="single" w:sz="4" w:space="0" w:color="auto"/>
            </w:tcBorders>
            <w:shd w:val="clear" w:color="auto" w:fill="auto"/>
            <w:vAlign w:val="bottom"/>
            <w:hideMark/>
          </w:tcPr>
          <w:p w14:paraId="015CD229"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196</w:t>
            </w:r>
          </w:p>
        </w:tc>
        <w:tc>
          <w:tcPr>
            <w:tcW w:w="802" w:type="pct"/>
            <w:tcBorders>
              <w:top w:val="nil"/>
              <w:left w:val="nil"/>
              <w:bottom w:val="single" w:sz="4" w:space="0" w:color="auto"/>
              <w:right w:val="single" w:sz="4" w:space="0" w:color="auto"/>
            </w:tcBorders>
            <w:shd w:val="clear" w:color="auto" w:fill="auto"/>
            <w:vAlign w:val="bottom"/>
            <w:hideMark/>
          </w:tcPr>
          <w:p w14:paraId="60F71B66"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511,091.69 </w:t>
            </w:r>
          </w:p>
        </w:tc>
        <w:tc>
          <w:tcPr>
            <w:tcW w:w="562" w:type="pct"/>
            <w:tcBorders>
              <w:top w:val="nil"/>
              <w:left w:val="nil"/>
              <w:bottom w:val="single" w:sz="4" w:space="0" w:color="auto"/>
              <w:right w:val="single" w:sz="4" w:space="0" w:color="auto"/>
            </w:tcBorders>
            <w:shd w:val="clear" w:color="auto" w:fill="auto"/>
            <w:vAlign w:val="bottom"/>
            <w:hideMark/>
          </w:tcPr>
          <w:p w14:paraId="02E31437"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5.89%</w:t>
            </w:r>
          </w:p>
        </w:tc>
        <w:tc>
          <w:tcPr>
            <w:tcW w:w="803" w:type="pct"/>
            <w:tcBorders>
              <w:top w:val="nil"/>
              <w:left w:val="nil"/>
              <w:bottom w:val="single" w:sz="4" w:space="0" w:color="auto"/>
              <w:right w:val="single" w:sz="4" w:space="0" w:color="auto"/>
            </w:tcBorders>
            <w:shd w:val="clear" w:color="auto" w:fill="auto"/>
            <w:vAlign w:val="bottom"/>
            <w:hideMark/>
          </w:tcPr>
          <w:p w14:paraId="5C8B4018"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xml:space="preserve"> $      352,569.03 </w:t>
            </w:r>
          </w:p>
        </w:tc>
        <w:tc>
          <w:tcPr>
            <w:tcW w:w="426" w:type="pct"/>
            <w:tcBorders>
              <w:top w:val="nil"/>
              <w:left w:val="nil"/>
              <w:bottom w:val="single" w:sz="4" w:space="0" w:color="auto"/>
              <w:right w:val="single" w:sz="4" w:space="0" w:color="auto"/>
            </w:tcBorders>
            <w:shd w:val="clear" w:color="auto" w:fill="auto"/>
            <w:vAlign w:val="bottom"/>
            <w:hideMark/>
          </w:tcPr>
          <w:p w14:paraId="6526C8D0"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4.88%</w:t>
            </w:r>
          </w:p>
        </w:tc>
      </w:tr>
      <w:tr w:rsidR="00C7249B" w:rsidRPr="00C7249B" w14:paraId="1D17D78B"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49DEA3FA"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7</w:t>
            </w:r>
          </w:p>
        </w:tc>
        <w:tc>
          <w:tcPr>
            <w:tcW w:w="1044" w:type="pct"/>
            <w:tcBorders>
              <w:top w:val="nil"/>
              <w:left w:val="nil"/>
              <w:bottom w:val="single" w:sz="4" w:space="0" w:color="auto"/>
              <w:right w:val="single" w:sz="4" w:space="0" w:color="auto"/>
            </w:tcBorders>
            <w:shd w:val="clear" w:color="auto" w:fill="auto"/>
            <w:vAlign w:val="bottom"/>
            <w:hideMark/>
          </w:tcPr>
          <w:p w14:paraId="7D45790B" w14:textId="77777777" w:rsidR="00C7249B" w:rsidRPr="00C7249B" w:rsidRDefault="00C7249B" w:rsidP="00AF4537">
            <w:pPr>
              <w:ind w:right="0"/>
              <w:jc w:val="both"/>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Otro</w:t>
            </w:r>
          </w:p>
        </w:tc>
        <w:tc>
          <w:tcPr>
            <w:tcW w:w="562" w:type="pct"/>
            <w:tcBorders>
              <w:top w:val="nil"/>
              <w:left w:val="nil"/>
              <w:bottom w:val="single" w:sz="4" w:space="0" w:color="auto"/>
              <w:right w:val="single" w:sz="4" w:space="0" w:color="auto"/>
            </w:tcBorders>
            <w:shd w:val="clear" w:color="auto" w:fill="auto"/>
            <w:vAlign w:val="bottom"/>
            <w:hideMark/>
          </w:tcPr>
          <w:p w14:paraId="6D41A948"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0</w:t>
            </w:r>
          </w:p>
        </w:tc>
        <w:tc>
          <w:tcPr>
            <w:tcW w:w="483" w:type="pct"/>
            <w:tcBorders>
              <w:top w:val="nil"/>
              <w:left w:val="nil"/>
              <w:bottom w:val="single" w:sz="4" w:space="0" w:color="auto"/>
              <w:right w:val="single" w:sz="4" w:space="0" w:color="auto"/>
            </w:tcBorders>
            <w:shd w:val="clear" w:color="auto" w:fill="auto"/>
            <w:vAlign w:val="bottom"/>
            <w:hideMark/>
          </w:tcPr>
          <w:p w14:paraId="0B082CF7" w14:textId="77777777" w:rsidR="00C7249B" w:rsidRPr="00C7249B" w:rsidRDefault="00C7249B" w:rsidP="00AF4537">
            <w:pPr>
              <w:ind w:right="0"/>
              <w:jc w:val="right"/>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0</w:t>
            </w:r>
          </w:p>
        </w:tc>
        <w:tc>
          <w:tcPr>
            <w:tcW w:w="802" w:type="pct"/>
            <w:tcBorders>
              <w:top w:val="nil"/>
              <w:left w:val="nil"/>
              <w:bottom w:val="single" w:sz="4" w:space="0" w:color="auto"/>
              <w:right w:val="single" w:sz="4" w:space="0" w:color="auto"/>
            </w:tcBorders>
            <w:shd w:val="clear" w:color="auto" w:fill="auto"/>
            <w:vAlign w:val="bottom"/>
            <w:hideMark/>
          </w:tcPr>
          <w:p w14:paraId="53B1B24E"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w:t>
            </w:r>
          </w:p>
        </w:tc>
        <w:tc>
          <w:tcPr>
            <w:tcW w:w="562" w:type="pct"/>
            <w:tcBorders>
              <w:top w:val="nil"/>
              <w:left w:val="nil"/>
              <w:bottom w:val="single" w:sz="4" w:space="0" w:color="auto"/>
              <w:right w:val="single" w:sz="4" w:space="0" w:color="auto"/>
            </w:tcBorders>
            <w:shd w:val="clear" w:color="auto" w:fill="auto"/>
            <w:vAlign w:val="bottom"/>
            <w:hideMark/>
          </w:tcPr>
          <w:p w14:paraId="63124B7A" w14:textId="77777777" w:rsidR="00C7249B" w:rsidRPr="00C7249B" w:rsidRDefault="00C7249B" w:rsidP="00AF4537">
            <w:pPr>
              <w:ind w:right="0"/>
              <w:rPr>
                <w:rFonts w:ascii="Neo Sans Pro" w:eastAsia="Times New Roman" w:hAnsi="Neo Sans Pro"/>
                <w:color w:val="000000"/>
                <w:sz w:val="14"/>
                <w:szCs w:val="14"/>
                <w:lang w:eastAsia="es-MX"/>
              </w:rPr>
            </w:pPr>
          </w:p>
        </w:tc>
        <w:tc>
          <w:tcPr>
            <w:tcW w:w="803" w:type="pct"/>
            <w:tcBorders>
              <w:top w:val="nil"/>
              <w:left w:val="nil"/>
              <w:bottom w:val="single" w:sz="4" w:space="0" w:color="auto"/>
              <w:right w:val="single" w:sz="4" w:space="0" w:color="auto"/>
            </w:tcBorders>
            <w:shd w:val="clear" w:color="auto" w:fill="auto"/>
            <w:vAlign w:val="bottom"/>
            <w:hideMark/>
          </w:tcPr>
          <w:p w14:paraId="4FE66BCC" w14:textId="77777777" w:rsidR="00C7249B" w:rsidRPr="00C7249B" w:rsidRDefault="00C7249B" w:rsidP="00AF4537">
            <w:pPr>
              <w:ind w:right="0"/>
              <w:rPr>
                <w:rFonts w:ascii="Neo Sans Pro" w:eastAsia="Times New Roman" w:hAnsi="Neo Sans Pro"/>
                <w:color w:val="000000"/>
                <w:sz w:val="14"/>
                <w:szCs w:val="14"/>
                <w:lang w:eastAsia="es-MX"/>
              </w:rPr>
            </w:pPr>
            <w:r w:rsidRPr="00C7249B">
              <w:rPr>
                <w:rFonts w:ascii="Neo Sans Pro" w:eastAsia="Times New Roman" w:hAnsi="Neo Sans Pro"/>
                <w:color w:val="000000"/>
                <w:sz w:val="14"/>
                <w:szCs w:val="14"/>
                <w:lang w:eastAsia="es-MX"/>
              </w:rPr>
              <w:t>$                   -</w:t>
            </w:r>
          </w:p>
        </w:tc>
        <w:tc>
          <w:tcPr>
            <w:tcW w:w="426" w:type="pct"/>
            <w:tcBorders>
              <w:top w:val="nil"/>
              <w:left w:val="nil"/>
              <w:bottom w:val="single" w:sz="4" w:space="0" w:color="auto"/>
              <w:right w:val="single" w:sz="4" w:space="0" w:color="auto"/>
            </w:tcBorders>
            <w:shd w:val="clear" w:color="auto" w:fill="auto"/>
            <w:vAlign w:val="bottom"/>
            <w:hideMark/>
          </w:tcPr>
          <w:p w14:paraId="55C26133" w14:textId="77777777" w:rsidR="00C7249B" w:rsidRPr="00C7249B" w:rsidRDefault="00C7249B" w:rsidP="00AF4537">
            <w:pPr>
              <w:ind w:right="0"/>
              <w:rPr>
                <w:rFonts w:ascii="Neo Sans Pro" w:eastAsia="Times New Roman" w:hAnsi="Neo Sans Pro"/>
                <w:color w:val="000000"/>
                <w:sz w:val="14"/>
                <w:szCs w:val="14"/>
                <w:lang w:eastAsia="es-MX"/>
              </w:rPr>
            </w:pPr>
          </w:p>
        </w:tc>
      </w:tr>
      <w:tr w:rsidR="00C7249B" w:rsidRPr="00913AD8" w14:paraId="2652F455"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36B4A632" w14:textId="77777777" w:rsidR="00C7249B" w:rsidRPr="00913AD8" w:rsidRDefault="00C7249B" w:rsidP="00AF4537">
            <w:pPr>
              <w:ind w:right="0"/>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lastRenderedPageBreak/>
              <w:t>8</w:t>
            </w:r>
          </w:p>
        </w:tc>
        <w:tc>
          <w:tcPr>
            <w:tcW w:w="1044" w:type="pct"/>
            <w:tcBorders>
              <w:top w:val="nil"/>
              <w:left w:val="nil"/>
              <w:bottom w:val="single" w:sz="4" w:space="0" w:color="auto"/>
              <w:right w:val="single" w:sz="4" w:space="0" w:color="auto"/>
            </w:tcBorders>
            <w:shd w:val="clear" w:color="auto" w:fill="auto"/>
            <w:vAlign w:val="bottom"/>
            <w:hideMark/>
          </w:tcPr>
          <w:p w14:paraId="4B589691" w14:textId="77777777" w:rsidR="00C7249B" w:rsidRPr="00913AD8" w:rsidRDefault="00C7249B" w:rsidP="00AF4537">
            <w:pPr>
              <w:ind w:right="0"/>
              <w:jc w:val="lef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Total</w:t>
            </w:r>
          </w:p>
        </w:tc>
        <w:tc>
          <w:tcPr>
            <w:tcW w:w="562" w:type="pct"/>
            <w:tcBorders>
              <w:top w:val="nil"/>
              <w:left w:val="nil"/>
              <w:bottom w:val="single" w:sz="4" w:space="0" w:color="auto"/>
              <w:right w:val="single" w:sz="4" w:space="0" w:color="auto"/>
            </w:tcBorders>
            <w:shd w:val="clear" w:color="auto" w:fill="auto"/>
            <w:vAlign w:val="bottom"/>
            <w:hideMark/>
          </w:tcPr>
          <w:p w14:paraId="209520AE"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7282</w:t>
            </w:r>
          </w:p>
        </w:tc>
        <w:tc>
          <w:tcPr>
            <w:tcW w:w="483" w:type="pct"/>
            <w:tcBorders>
              <w:top w:val="nil"/>
              <w:left w:val="nil"/>
              <w:bottom w:val="single" w:sz="4" w:space="0" w:color="auto"/>
              <w:right w:val="single" w:sz="4" w:space="0" w:color="auto"/>
            </w:tcBorders>
            <w:shd w:val="clear" w:color="auto" w:fill="auto"/>
            <w:vAlign w:val="bottom"/>
            <w:hideMark/>
          </w:tcPr>
          <w:p w14:paraId="14136B2F"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7169</w:t>
            </w:r>
          </w:p>
        </w:tc>
        <w:tc>
          <w:tcPr>
            <w:tcW w:w="802" w:type="pct"/>
            <w:tcBorders>
              <w:top w:val="nil"/>
              <w:left w:val="nil"/>
              <w:bottom w:val="single" w:sz="4" w:space="0" w:color="auto"/>
              <w:right w:val="single" w:sz="4" w:space="0" w:color="auto"/>
            </w:tcBorders>
            <w:shd w:val="clear" w:color="auto" w:fill="auto"/>
            <w:vAlign w:val="bottom"/>
            <w:hideMark/>
          </w:tcPr>
          <w:p w14:paraId="4803B7DA"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 xml:space="preserve"> $ 7,666,241.46 </w:t>
            </w:r>
          </w:p>
        </w:tc>
        <w:tc>
          <w:tcPr>
            <w:tcW w:w="562" w:type="pct"/>
            <w:tcBorders>
              <w:top w:val="nil"/>
              <w:left w:val="nil"/>
              <w:bottom w:val="single" w:sz="4" w:space="0" w:color="auto"/>
              <w:right w:val="single" w:sz="4" w:space="0" w:color="auto"/>
            </w:tcBorders>
            <w:shd w:val="clear" w:color="auto" w:fill="auto"/>
            <w:vAlign w:val="bottom"/>
            <w:hideMark/>
          </w:tcPr>
          <w:p w14:paraId="51B0EE80"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88.28%</w:t>
            </w:r>
          </w:p>
        </w:tc>
        <w:tc>
          <w:tcPr>
            <w:tcW w:w="803" w:type="pct"/>
            <w:tcBorders>
              <w:top w:val="nil"/>
              <w:left w:val="nil"/>
              <w:bottom w:val="single" w:sz="4" w:space="0" w:color="auto"/>
              <w:right w:val="single" w:sz="4" w:space="0" w:color="auto"/>
            </w:tcBorders>
            <w:shd w:val="clear" w:color="auto" w:fill="auto"/>
            <w:vAlign w:val="bottom"/>
            <w:hideMark/>
          </w:tcPr>
          <w:p w14:paraId="0BBA8935"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 xml:space="preserve"> $ 6,311,450.84 </w:t>
            </w:r>
          </w:p>
        </w:tc>
        <w:tc>
          <w:tcPr>
            <w:tcW w:w="426" w:type="pct"/>
            <w:tcBorders>
              <w:top w:val="nil"/>
              <w:left w:val="nil"/>
              <w:bottom w:val="single" w:sz="4" w:space="0" w:color="auto"/>
              <w:right w:val="single" w:sz="4" w:space="0" w:color="auto"/>
            </w:tcBorders>
            <w:shd w:val="clear" w:color="auto" w:fill="auto"/>
            <w:vAlign w:val="bottom"/>
            <w:hideMark/>
          </w:tcPr>
          <w:p w14:paraId="0E2E6E87"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87.34%</w:t>
            </w:r>
          </w:p>
        </w:tc>
      </w:tr>
      <w:tr w:rsidR="00C7249B" w:rsidRPr="00913AD8" w14:paraId="7CEA49CC" w14:textId="77777777" w:rsidTr="00AF4537">
        <w:trPr>
          <w:trHeight w:val="288"/>
        </w:trPr>
        <w:tc>
          <w:tcPr>
            <w:tcW w:w="318" w:type="pct"/>
            <w:tcBorders>
              <w:top w:val="nil"/>
              <w:left w:val="single" w:sz="4" w:space="0" w:color="auto"/>
              <w:bottom w:val="single" w:sz="4" w:space="0" w:color="auto"/>
              <w:right w:val="single" w:sz="4" w:space="0" w:color="auto"/>
            </w:tcBorders>
            <w:shd w:val="clear" w:color="auto" w:fill="auto"/>
            <w:vAlign w:val="bottom"/>
            <w:hideMark/>
          </w:tcPr>
          <w:p w14:paraId="577418B3" w14:textId="77777777" w:rsidR="00C7249B" w:rsidRPr="00913AD8" w:rsidRDefault="00C7249B" w:rsidP="00AF4537">
            <w:pPr>
              <w:ind w:right="0"/>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9</w:t>
            </w:r>
          </w:p>
        </w:tc>
        <w:tc>
          <w:tcPr>
            <w:tcW w:w="1044" w:type="pct"/>
            <w:tcBorders>
              <w:top w:val="nil"/>
              <w:left w:val="nil"/>
              <w:bottom w:val="single" w:sz="4" w:space="0" w:color="auto"/>
              <w:right w:val="single" w:sz="4" w:space="0" w:color="auto"/>
            </w:tcBorders>
            <w:shd w:val="clear" w:color="auto" w:fill="auto"/>
            <w:vAlign w:val="bottom"/>
            <w:hideMark/>
          </w:tcPr>
          <w:p w14:paraId="1BE4713B" w14:textId="77777777" w:rsidR="00C7249B" w:rsidRPr="00913AD8" w:rsidRDefault="00C7249B" w:rsidP="00AF4537">
            <w:pPr>
              <w:ind w:right="0"/>
              <w:jc w:val="lef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GRAN TOTAL</w:t>
            </w:r>
          </w:p>
        </w:tc>
        <w:tc>
          <w:tcPr>
            <w:tcW w:w="562" w:type="pct"/>
            <w:tcBorders>
              <w:top w:val="nil"/>
              <w:left w:val="nil"/>
              <w:bottom w:val="single" w:sz="4" w:space="0" w:color="auto"/>
              <w:right w:val="single" w:sz="4" w:space="0" w:color="auto"/>
            </w:tcBorders>
            <w:shd w:val="clear" w:color="auto" w:fill="auto"/>
            <w:vAlign w:val="bottom"/>
            <w:hideMark/>
          </w:tcPr>
          <w:p w14:paraId="25D8B4FC"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8095</w:t>
            </w:r>
          </w:p>
        </w:tc>
        <w:tc>
          <w:tcPr>
            <w:tcW w:w="483" w:type="pct"/>
            <w:tcBorders>
              <w:top w:val="nil"/>
              <w:left w:val="nil"/>
              <w:bottom w:val="single" w:sz="4" w:space="0" w:color="auto"/>
              <w:right w:val="single" w:sz="4" w:space="0" w:color="auto"/>
            </w:tcBorders>
            <w:shd w:val="clear" w:color="auto" w:fill="auto"/>
            <w:vAlign w:val="bottom"/>
            <w:hideMark/>
          </w:tcPr>
          <w:p w14:paraId="05A3E524"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7991</w:t>
            </w:r>
          </w:p>
        </w:tc>
        <w:tc>
          <w:tcPr>
            <w:tcW w:w="802" w:type="pct"/>
            <w:tcBorders>
              <w:top w:val="nil"/>
              <w:left w:val="nil"/>
              <w:bottom w:val="single" w:sz="4" w:space="0" w:color="auto"/>
              <w:right w:val="single" w:sz="4" w:space="0" w:color="auto"/>
            </w:tcBorders>
            <w:shd w:val="clear" w:color="auto" w:fill="auto"/>
            <w:vAlign w:val="bottom"/>
            <w:hideMark/>
          </w:tcPr>
          <w:p w14:paraId="7B9A5564"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 xml:space="preserve"> $ 8,683,526.12 </w:t>
            </w:r>
          </w:p>
        </w:tc>
        <w:tc>
          <w:tcPr>
            <w:tcW w:w="562" w:type="pct"/>
            <w:tcBorders>
              <w:top w:val="nil"/>
              <w:left w:val="nil"/>
              <w:bottom w:val="single" w:sz="4" w:space="0" w:color="auto"/>
              <w:right w:val="single" w:sz="4" w:space="0" w:color="auto"/>
            </w:tcBorders>
            <w:shd w:val="clear" w:color="auto" w:fill="auto"/>
            <w:vAlign w:val="bottom"/>
            <w:hideMark/>
          </w:tcPr>
          <w:p w14:paraId="6ACAC9D2"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100.00%</w:t>
            </w:r>
          </w:p>
        </w:tc>
        <w:tc>
          <w:tcPr>
            <w:tcW w:w="803" w:type="pct"/>
            <w:tcBorders>
              <w:top w:val="nil"/>
              <w:left w:val="nil"/>
              <w:bottom w:val="single" w:sz="4" w:space="0" w:color="auto"/>
              <w:right w:val="single" w:sz="4" w:space="0" w:color="auto"/>
            </w:tcBorders>
            <w:shd w:val="clear" w:color="auto" w:fill="auto"/>
            <w:vAlign w:val="bottom"/>
            <w:hideMark/>
          </w:tcPr>
          <w:p w14:paraId="00AD7E18"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 xml:space="preserve"> $ 7,226,513.71 </w:t>
            </w:r>
          </w:p>
        </w:tc>
        <w:tc>
          <w:tcPr>
            <w:tcW w:w="426" w:type="pct"/>
            <w:tcBorders>
              <w:top w:val="nil"/>
              <w:left w:val="nil"/>
              <w:bottom w:val="single" w:sz="4" w:space="0" w:color="auto"/>
              <w:right w:val="single" w:sz="4" w:space="0" w:color="auto"/>
            </w:tcBorders>
            <w:shd w:val="clear" w:color="auto" w:fill="auto"/>
            <w:vAlign w:val="bottom"/>
            <w:hideMark/>
          </w:tcPr>
          <w:p w14:paraId="1ACB1B7D" w14:textId="77777777" w:rsidR="00C7249B" w:rsidRPr="00913AD8" w:rsidRDefault="00C7249B" w:rsidP="00AF4537">
            <w:pPr>
              <w:ind w:right="0"/>
              <w:jc w:val="right"/>
              <w:rPr>
                <w:rFonts w:ascii="Neo Sans Pro" w:eastAsia="Times New Roman" w:hAnsi="Neo Sans Pro"/>
                <w:b/>
                <w:bCs/>
                <w:color w:val="000000"/>
                <w:sz w:val="14"/>
                <w:szCs w:val="14"/>
                <w:lang w:eastAsia="es-MX"/>
              </w:rPr>
            </w:pPr>
            <w:r w:rsidRPr="00913AD8">
              <w:rPr>
                <w:rFonts w:ascii="Neo Sans Pro" w:eastAsia="Times New Roman" w:hAnsi="Neo Sans Pro"/>
                <w:b/>
                <w:bCs/>
                <w:color w:val="000000"/>
                <w:sz w:val="14"/>
                <w:szCs w:val="14"/>
                <w:lang w:eastAsia="es-MX"/>
              </w:rPr>
              <w:t>100.00%</w:t>
            </w:r>
          </w:p>
        </w:tc>
      </w:tr>
    </w:tbl>
    <w:p w14:paraId="41B43C94" w14:textId="77777777" w:rsidR="00580787" w:rsidRPr="00FE2459" w:rsidRDefault="00580787" w:rsidP="00580787">
      <w:pPr>
        <w:jc w:val="both"/>
        <w:rPr>
          <w:rFonts w:ascii="Neo Sans Pro" w:hAnsi="Neo Sans Pro" w:cs="Arial"/>
          <w:sz w:val="20"/>
          <w:szCs w:val="20"/>
        </w:rPr>
      </w:pPr>
    </w:p>
    <w:p w14:paraId="3A84D1F5" w14:textId="77777777" w:rsidR="00580787" w:rsidRPr="00FE2459" w:rsidRDefault="00580787" w:rsidP="00580787">
      <w:pPr>
        <w:jc w:val="both"/>
        <w:rPr>
          <w:rFonts w:ascii="Neo Sans Pro" w:hAnsi="Neo Sans Pro" w:cs="Arial"/>
          <w:sz w:val="20"/>
          <w:szCs w:val="20"/>
        </w:rPr>
      </w:pPr>
    </w:p>
    <w:p w14:paraId="38A32501" w14:textId="5857E26E" w:rsidR="00580787" w:rsidRDefault="00580787" w:rsidP="00853257">
      <w:pPr>
        <w:jc w:val="both"/>
        <w:rPr>
          <w:rFonts w:ascii="Neo Sans Pro" w:hAnsi="Neo Sans Pro" w:cs="Arial"/>
          <w:b/>
          <w:bCs/>
          <w:sz w:val="20"/>
          <w:szCs w:val="20"/>
        </w:rPr>
      </w:pPr>
      <w:r w:rsidRPr="00AA5882">
        <w:rPr>
          <w:rFonts w:ascii="Neo Sans Pro" w:hAnsi="Neo Sans Pro" w:cs="Arial"/>
          <w:b/>
          <w:bCs/>
          <w:sz w:val="20"/>
          <w:szCs w:val="20"/>
        </w:rPr>
        <w:t>10. Si se realizaron algunas de las siguientes acciones administrativas para aumentar o disminuir el potencial recaudatorio en el cobro de los derechos por suministro de agua, describa cómo se realizaron y anexe documentos que amparen dichas acciones:</w:t>
      </w:r>
    </w:p>
    <w:p w14:paraId="55225C5F" w14:textId="77777777" w:rsidR="00AA5882" w:rsidRDefault="00AA5882" w:rsidP="00853257">
      <w:pPr>
        <w:jc w:val="both"/>
        <w:rPr>
          <w:rFonts w:ascii="Neo Sans Pro" w:hAnsi="Neo Sans Pro" w:cs="Arial"/>
          <w:b/>
          <w:bCs/>
          <w:sz w:val="20"/>
          <w:szCs w:val="20"/>
        </w:rPr>
      </w:pPr>
    </w:p>
    <w:p w14:paraId="361E2E1A" w14:textId="77777777" w:rsidR="00AA5882" w:rsidRDefault="00AA5882" w:rsidP="00AA5882">
      <w:pPr>
        <w:jc w:val="both"/>
        <w:rPr>
          <w:rFonts w:ascii="Neo Sans Pro" w:hAnsi="Neo Sans Pro" w:cs="Arial"/>
          <w:sz w:val="20"/>
          <w:szCs w:val="20"/>
        </w:rPr>
      </w:pPr>
      <w:r w:rsidRPr="00AA5882">
        <w:rPr>
          <w:rFonts w:ascii="Neo Sans Pro" w:hAnsi="Neo Sans Pro" w:cs="Arial"/>
          <w:b/>
          <w:bCs/>
          <w:sz w:val="20"/>
          <w:szCs w:val="20"/>
        </w:rPr>
        <w:t>Respuesta:</w:t>
      </w:r>
      <w:r w:rsidRPr="00AA5882">
        <w:rPr>
          <w:rFonts w:ascii="Neo Sans Pro" w:hAnsi="Neo Sans Pro" w:cs="Arial"/>
          <w:b/>
          <w:bCs/>
          <w:sz w:val="20"/>
          <w:szCs w:val="20"/>
        </w:rPr>
        <w:br/>
      </w:r>
      <w:r w:rsidRPr="00AA5882">
        <w:rPr>
          <w:rFonts w:ascii="Neo Sans Pro" w:hAnsi="Neo Sans Pro" w:cs="Arial"/>
          <w:sz w:val="20"/>
          <w:szCs w:val="20"/>
        </w:rPr>
        <w:t>Con el propósito de incrementar los ingresos derivados de los servicios de agua potable en las 11 localidades atendidas por el H. Ayuntamiento de Úrsulo Galván, se implementaron diversas acciones y estrategias a través de la Tesorería Municipal y la Dirección de Agua Potable. A continuación, se detallan las principales medidas adoptadas:</w:t>
      </w:r>
    </w:p>
    <w:p w14:paraId="085480B8" w14:textId="77777777" w:rsidR="00AA5882" w:rsidRPr="00AA5882" w:rsidRDefault="00AA5882" w:rsidP="00AA5882">
      <w:pPr>
        <w:jc w:val="both"/>
        <w:rPr>
          <w:rFonts w:ascii="Neo Sans Pro" w:hAnsi="Neo Sans Pro" w:cs="Arial"/>
          <w:sz w:val="20"/>
          <w:szCs w:val="20"/>
        </w:rPr>
      </w:pPr>
    </w:p>
    <w:p w14:paraId="4056395D" w14:textId="77777777" w:rsidR="00AA5882" w:rsidRPr="00AA5882" w:rsidRDefault="00AA5882" w:rsidP="00AA5882">
      <w:pPr>
        <w:jc w:val="both"/>
        <w:rPr>
          <w:rFonts w:ascii="Neo Sans Pro" w:hAnsi="Neo Sans Pro" w:cs="Arial"/>
          <w:b/>
          <w:bCs/>
          <w:sz w:val="20"/>
          <w:szCs w:val="20"/>
        </w:rPr>
      </w:pPr>
      <w:r w:rsidRPr="00AA5882">
        <w:rPr>
          <w:rFonts w:ascii="Neo Sans Pro" w:hAnsi="Neo Sans Pro" w:cs="Arial"/>
          <w:b/>
          <w:bCs/>
          <w:sz w:val="20"/>
          <w:szCs w:val="20"/>
        </w:rPr>
        <w:t>a) Detección de tomas clandestinas y actualización del padrón de usuarios</w:t>
      </w:r>
      <w:r w:rsidRPr="00AA5882">
        <w:rPr>
          <w:rFonts w:ascii="Neo Sans Pro" w:hAnsi="Neo Sans Pro" w:cs="Arial"/>
          <w:b/>
          <w:bCs/>
          <w:sz w:val="20"/>
          <w:szCs w:val="20"/>
        </w:rPr>
        <w:t>.</w:t>
      </w:r>
    </w:p>
    <w:p w14:paraId="3EDB77D5" w14:textId="36C50B7B" w:rsidR="00AA5882" w:rsidRDefault="00AA5882" w:rsidP="00AA5882">
      <w:pPr>
        <w:jc w:val="both"/>
        <w:rPr>
          <w:rFonts w:ascii="Neo Sans Pro" w:hAnsi="Neo Sans Pro" w:cs="Arial"/>
          <w:sz w:val="20"/>
          <w:szCs w:val="20"/>
        </w:rPr>
      </w:pPr>
      <w:r w:rsidRPr="00AA5882">
        <w:rPr>
          <w:rFonts w:ascii="Neo Sans Pro" w:hAnsi="Neo Sans Pro" w:cs="Arial"/>
          <w:sz w:val="20"/>
          <w:szCs w:val="20"/>
        </w:rPr>
        <w:br/>
        <w:t>Se llevó a cabo un censo y una ubicación georreferenciada de tomas y predios en 2 de las 11 localidades atendidas, lo que permitió identificar y actualizar el padrón de usuarios. Esto facilitó la incorporación de usuarios con estatus de baja temporal o definitiva, tomas derivadas y tomas clandestinas, logrando así la recuperación parcial de consumos y el pago correspondiente de derechos por contratación.</w:t>
      </w:r>
    </w:p>
    <w:p w14:paraId="61475A54" w14:textId="77777777" w:rsidR="00AA5882" w:rsidRPr="00AA5882" w:rsidRDefault="00AA5882" w:rsidP="00AA5882">
      <w:pPr>
        <w:jc w:val="both"/>
        <w:rPr>
          <w:rFonts w:ascii="Neo Sans Pro" w:hAnsi="Neo Sans Pro" w:cs="Arial"/>
          <w:sz w:val="20"/>
          <w:szCs w:val="20"/>
        </w:rPr>
      </w:pPr>
    </w:p>
    <w:p w14:paraId="20A90724" w14:textId="4C749961" w:rsidR="00AA5882" w:rsidRDefault="00AA5882" w:rsidP="00AA5882">
      <w:pPr>
        <w:jc w:val="both"/>
        <w:rPr>
          <w:rFonts w:ascii="Neo Sans Pro" w:hAnsi="Neo Sans Pro" w:cs="Arial"/>
          <w:b/>
          <w:bCs/>
          <w:sz w:val="20"/>
          <w:szCs w:val="20"/>
        </w:rPr>
      </w:pPr>
      <w:r w:rsidRPr="00AA5882">
        <w:rPr>
          <w:rFonts w:ascii="Neo Sans Pro" w:hAnsi="Neo Sans Pro" w:cs="Arial"/>
          <w:b/>
          <w:bCs/>
          <w:sz w:val="20"/>
          <w:szCs w:val="20"/>
        </w:rPr>
        <w:t>b) Programas de descuentos</w:t>
      </w:r>
      <w:r w:rsidR="005F10CA">
        <w:rPr>
          <w:rFonts w:ascii="Neo Sans Pro" w:hAnsi="Neo Sans Pro" w:cs="Arial"/>
          <w:b/>
          <w:bCs/>
          <w:sz w:val="20"/>
          <w:szCs w:val="20"/>
        </w:rPr>
        <w:t>.</w:t>
      </w:r>
    </w:p>
    <w:p w14:paraId="0490FECC" w14:textId="79572EBD" w:rsidR="00AA5882" w:rsidRDefault="00AA5882" w:rsidP="00AA5882">
      <w:pPr>
        <w:jc w:val="both"/>
        <w:rPr>
          <w:rFonts w:ascii="Neo Sans Pro" w:hAnsi="Neo Sans Pro" w:cs="Arial"/>
          <w:sz w:val="20"/>
          <w:szCs w:val="20"/>
        </w:rPr>
      </w:pPr>
      <w:r w:rsidRPr="00AA5882">
        <w:rPr>
          <w:rFonts w:ascii="Neo Sans Pro" w:hAnsi="Neo Sans Pro" w:cs="Arial"/>
          <w:b/>
          <w:bCs/>
          <w:sz w:val="20"/>
          <w:szCs w:val="20"/>
        </w:rPr>
        <w:br/>
      </w:r>
      <w:r w:rsidRPr="00AA5882">
        <w:rPr>
          <w:rFonts w:ascii="Neo Sans Pro" w:hAnsi="Neo Sans Pro" w:cs="Arial"/>
          <w:sz w:val="20"/>
          <w:szCs w:val="20"/>
        </w:rPr>
        <w:t>Con el objetivo de disminuir la cartera vencida, el H. Cabildo autorizó campañas periódicas de descuentos aplicados a recargos y accesorios. Estas acciones permitieron reincorporar usuarios con adeudos significativos, aumentando la eficiencia comercial a más del 50% de los usuarios registrados.</w:t>
      </w:r>
    </w:p>
    <w:p w14:paraId="3C8C9C5B" w14:textId="77777777" w:rsidR="00AA5882" w:rsidRDefault="00AA5882" w:rsidP="00AA5882">
      <w:pPr>
        <w:jc w:val="left"/>
        <w:rPr>
          <w:rFonts w:ascii="Neo Sans Pro" w:hAnsi="Neo Sans Pro" w:cs="Arial"/>
          <w:sz w:val="20"/>
          <w:szCs w:val="20"/>
        </w:rPr>
      </w:pPr>
    </w:p>
    <w:p w14:paraId="21E7F18F" w14:textId="77777777" w:rsidR="00AA5882" w:rsidRPr="00AA5882" w:rsidRDefault="00AA5882" w:rsidP="00AA5882">
      <w:pPr>
        <w:jc w:val="left"/>
        <w:rPr>
          <w:rFonts w:ascii="Neo Sans Pro" w:hAnsi="Neo Sans Pro" w:cs="Arial"/>
          <w:sz w:val="20"/>
          <w:szCs w:val="20"/>
        </w:rPr>
      </w:pPr>
    </w:p>
    <w:p w14:paraId="66B2DB40" w14:textId="77777777" w:rsidR="00AA5882" w:rsidRDefault="00AA5882" w:rsidP="00AA5882">
      <w:pPr>
        <w:jc w:val="left"/>
        <w:rPr>
          <w:rFonts w:ascii="Neo Sans Pro" w:hAnsi="Neo Sans Pro" w:cs="Arial"/>
          <w:b/>
          <w:bCs/>
          <w:sz w:val="20"/>
          <w:szCs w:val="20"/>
        </w:rPr>
      </w:pPr>
      <w:r w:rsidRPr="00AA5882">
        <w:rPr>
          <w:rFonts w:ascii="Neo Sans Pro" w:hAnsi="Neo Sans Pro" w:cs="Arial"/>
          <w:b/>
          <w:bCs/>
          <w:sz w:val="20"/>
          <w:szCs w:val="20"/>
        </w:rPr>
        <w:t>c) Descuentos por pago anual</w:t>
      </w:r>
      <w:r>
        <w:rPr>
          <w:rFonts w:ascii="Neo Sans Pro" w:hAnsi="Neo Sans Pro" w:cs="Arial"/>
          <w:b/>
          <w:bCs/>
          <w:sz w:val="20"/>
          <w:szCs w:val="20"/>
        </w:rPr>
        <w:t>.</w:t>
      </w:r>
    </w:p>
    <w:p w14:paraId="498B9879" w14:textId="4B16B174" w:rsidR="00AA5882" w:rsidRDefault="00AA5882" w:rsidP="00AA5882">
      <w:pPr>
        <w:jc w:val="both"/>
        <w:rPr>
          <w:rFonts w:ascii="Neo Sans Pro" w:hAnsi="Neo Sans Pro" w:cs="Arial"/>
          <w:sz w:val="20"/>
          <w:szCs w:val="20"/>
        </w:rPr>
      </w:pPr>
      <w:r w:rsidRPr="00AA5882">
        <w:rPr>
          <w:rFonts w:ascii="Neo Sans Pro" w:hAnsi="Neo Sans Pro" w:cs="Arial"/>
          <w:b/>
          <w:bCs/>
          <w:sz w:val="20"/>
          <w:szCs w:val="20"/>
        </w:rPr>
        <w:br/>
      </w:r>
      <w:r w:rsidRPr="00AA5882">
        <w:rPr>
          <w:rFonts w:ascii="Neo Sans Pro" w:hAnsi="Neo Sans Pro" w:cs="Arial"/>
          <w:sz w:val="20"/>
          <w:szCs w:val="20"/>
        </w:rPr>
        <w:t>Durante los meses de enero y febrero, se aplicó el programa de descuentos por pago anual, especialmente dirigido a pensionados y adultos mayores, lo que generó una excelente respuesta de los usuarios y un incremento considerable en la recaudación</w:t>
      </w:r>
      <w:r w:rsidR="005F10CA">
        <w:rPr>
          <w:rFonts w:ascii="Neo Sans Pro" w:hAnsi="Neo Sans Pro" w:cs="Arial"/>
          <w:sz w:val="20"/>
          <w:szCs w:val="20"/>
        </w:rPr>
        <w:t>.</w:t>
      </w:r>
    </w:p>
    <w:p w14:paraId="1D5E75C0" w14:textId="77777777" w:rsidR="00AA5882" w:rsidRPr="00AA5882" w:rsidRDefault="00AA5882" w:rsidP="00AA5882">
      <w:pPr>
        <w:jc w:val="left"/>
        <w:rPr>
          <w:rFonts w:ascii="Neo Sans Pro" w:hAnsi="Neo Sans Pro" w:cs="Arial"/>
          <w:sz w:val="20"/>
          <w:szCs w:val="20"/>
        </w:rPr>
      </w:pPr>
    </w:p>
    <w:p w14:paraId="0B6534EC" w14:textId="218D8002" w:rsidR="00AA5882" w:rsidRDefault="00AA5882" w:rsidP="00AA5882">
      <w:pPr>
        <w:jc w:val="left"/>
        <w:rPr>
          <w:rFonts w:ascii="Neo Sans Pro" w:hAnsi="Neo Sans Pro" w:cs="Arial"/>
          <w:sz w:val="20"/>
          <w:szCs w:val="20"/>
        </w:rPr>
      </w:pPr>
      <w:r w:rsidRPr="00AA5882">
        <w:rPr>
          <w:rFonts w:ascii="Neo Sans Pro" w:hAnsi="Neo Sans Pro" w:cs="Arial"/>
          <w:b/>
          <w:bCs/>
          <w:sz w:val="20"/>
          <w:szCs w:val="20"/>
        </w:rPr>
        <w:t>d) Campañas publicitarias</w:t>
      </w:r>
      <w:r w:rsidR="005F10CA">
        <w:rPr>
          <w:rFonts w:ascii="Neo Sans Pro" w:hAnsi="Neo Sans Pro" w:cs="Arial"/>
          <w:b/>
          <w:bCs/>
          <w:sz w:val="20"/>
          <w:szCs w:val="20"/>
        </w:rPr>
        <w:t>.</w:t>
      </w:r>
      <w:r w:rsidRPr="00AA5882">
        <w:rPr>
          <w:rFonts w:ascii="Neo Sans Pro" w:hAnsi="Neo Sans Pro" w:cs="Arial"/>
          <w:b/>
          <w:bCs/>
          <w:sz w:val="20"/>
          <w:szCs w:val="20"/>
        </w:rPr>
        <w:br/>
      </w:r>
      <w:r w:rsidRPr="00AA5882">
        <w:rPr>
          <w:rFonts w:ascii="Neo Sans Pro" w:hAnsi="Neo Sans Pro" w:cs="Arial"/>
          <w:sz w:val="20"/>
          <w:szCs w:val="20"/>
        </w:rPr>
        <w:t>Se llevaron a cabo campañas de sensibilización orientadas a promover el uso eficiente del agua y destacar la importancia de cubrir los pagos correspondientes al servicio. Estas campañas lograron una respuesta positiva de la población en términos de cuidado del recurso y cumplimiento de sus obligaciones.</w:t>
      </w:r>
    </w:p>
    <w:p w14:paraId="34E9C851" w14:textId="77777777" w:rsidR="005F10CA" w:rsidRPr="00AA5882" w:rsidRDefault="005F10CA" w:rsidP="00AA5882">
      <w:pPr>
        <w:jc w:val="left"/>
        <w:rPr>
          <w:rFonts w:ascii="Neo Sans Pro" w:hAnsi="Neo Sans Pro" w:cs="Arial"/>
          <w:sz w:val="20"/>
          <w:szCs w:val="20"/>
        </w:rPr>
      </w:pPr>
    </w:p>
    <w:p w14:paraId="0200B522" w14:textId="6E3926AC" w:rsidR="005F10CA" w:rsidRPr="005F10CA" w:rsidRDefault="00AA5882" w:rsidP="005F10CA">
      <w:pPr>
        <w:jc w:val="both"/>
        <w:rPr>
          <w:rFonts w:ascii="Neo Sans Pro" w:hAnsi="Neo Sans Pro" w:cs="Arial"/>
          <w:b/>
          <w:bCs/>
          <w:sz w:val="20"/>
          <w:szCs w:val="20"/>
        </w:rPr>
      </w:pPr>
      <w:r w:rsidRPr="00AA5882">
        <w:rPr>
          <w:rFonts w:ascii="Neo Sans Pro" w:hAnsi="Neo Sans Pro" w:cs="Arial"/>
          <w:b/>
          <w:bCs/>
          <w:sz w:val="20"/>
          <w:szCs w:val="20"/>
        </w:rPr>
        <w:t>e) Cobro coactivo</w:t>
      </w:r>
      <w:r w:rsidR="005F10CA" w:rsidRPr="005F10CA">
        <w:rPr>
          <w:rFonts w:ascii="Neo Sans Pro" w:hAnsi="Neo Sans Pro" w:cs="Arial"/>
          <w:b/>
          <w:bCs/>
          <w:sz w:val="20"/>
          <w:szCs w:val="20"/>
        </w:rPr>
        <w:t>.</w:t>
      </w:r>
    </w:p>
    <w:p w14:paraId="44AC08D7" w14:textId="07B691B6" w:rsidR="00AA5882" w:rsidRDefault="00AA5882" w:rsidP="005F10CA">
      <w:pPr>
        <w:jc w:val="both"/>
        <w:rPr>
          <w:rFonts w:ascii="Neo Sans Pro" w:hAnsi="Neo Sans Pro" w:cs="Arial"/>
          <w:sz w:val="20"/>
          <w:szCs w:val="20"/>
        </w:rPr>
      </w:pPr>
      <w:r w:rsidRPr="00AA5882">
        <w:rPr>
          <w:rFonts w:ascii="Neo Sans Pro" w:hAnsi="Neo Sans Pro" w:cs="Arial"/>
          <w:sz w:val="20"/>
          <w:szCs w:val="20"/>
        </w:rPr>
        <w:br/>
        <w:t>Para los usuarios renuentes al pago, se implementaron acciones sistemáticas como cortes o limitaciones del servicio, además de requerimientos, pláticas y facilidades para liquidar los adeudos. Estas medidas resultaron efectivas, sin necesidad de recurrir al procedimiento económico-coactivo hasta la fecha.</w:t>
      </w:r>
    </w:p>
    <w:p w14:paraId="3819D102" w14:textId="77777777" w:rsidR="005F10CA" w:rsidRPr="00AA5882" w:rsidRDefault="005F10CA" w:rsidP="005F10CA">
      <w:pPr>
        <w:jc w:val="both"/>
        <w:rPr>
          <w:rFonts w:ascii="Neo Sans Pro" w:hAnsi="Neo Sans Pro" w:cs="Arial"/>
          <w:sz w:val="20"/>
          <w:szCs w:val="20"/>
        </w:rPr>
      </w:pPr>
    </w:p>
    <w:p w14:paraId="16DC0869" w14:textId="51741AE8" w:rsidR="00AA5882" w:rsidRDefault="00AA5882" w:rsidP="00AA5882">
      <w:pPr>
        <w:jc w:val="left"/>
        <w:rPr>
          <w:rFonts w:ascii="Neo Sans Pro" w:hAnsi="Neo Sans Pro" w:cs="Arial"/>
          <w:sz w:val="20"/>
          <w:szCs w:val="20"/>
        </w:rPr>
      </w:pPr>
      <w:r w:rsidRPr="00AA5882">
        <w:rPr>
          <w:rFonts w:ascii="Neo Sans Pro" w:hAnsi="Neo Sans Pro" w:cs="Arial"/>
          <w:b/>
          <w:bCs/>
          <w:sz w:val="20"/>
          <w:szCs w:val="20"/>
        </w:rPr>
        <w:t>f) Facilidades de pago mediante convenios</w:t>
      </w:r>
      <w:r w:rsidR="005F10CA" w:rsidRPr="005F10CA">
        <w:rPr>
          <w:rFonts w:ascii="Neo Sans Pro" w:hAnsi="Neo Sans Pro" w:cs="Arial"/>
          <w:b/>
          <w:bCs/>
          <w:sz w:val="20"/>
          <w:szCs w:val="20"/>
        </w:rPr>
        <w:t>.</w:t>
      </w:r>
      <w:r w:rsidRPr="00AA5882">
        <w:rPr>
          <w:rFonts w:ascii="Neo Sans Pro" w:hAnsi="Neo Sans Pro" w:cs="Arial"/>
          <w:b/>
          <w:bCs/>
          <w:sz w:val="20"/>
          <w:szCs w:val="20"/>
        </w:rPr>
        <w:br/>
      </w:r>
      <w:r w:rsidRPr="00AA5882">
        <w:rPr>
          <w:rFonts w:ascii="Neo Sans Pro" w:hAnsi="Neo Sans Pro" w:cs="Arial"/>
          <w:sz w:val="20"/>
          <w:szCs w:val="20"/>
        </w:rPr>
        <w:t xml:space="preserve">Se estableció de forma permanente una política comercial que contempla convenios de pago con </w:t>
      </w:r>
      <w:r w:rsidRPr="00AA5882">
        <w:rPr>
          <w:rFonts w:ascii="Neo Sans Pro" w:hAnsi="Neo Sans Pro" w:cs="Arial"/>
          <w:sz w:val="20"/>
          <w:szCs w:val="20"/>
        </w:rPr>
        <w:lastRenderedPageBreak/>
        <w:t>facilidades de hasta 12 meses y descuentos superiores al 50%, beneficiando a los usuarios con adeudos acumulados.</w:t>
      </w:r>
    </w:p>
    <w:p w14:paraId="472A94F7" w14:textId="77777777" w:rsidR="005F10CA" w:rsidRPr="00AA5882" w:rsidRDefault="005F10CA" w:rsidP="00AA5882">
      <w:pPr>
        <w:jc w:val="left"/>
        <w:rPr>
          <w:rFonts w:ascii="Neo Sans Pro" w:hAnsi="Neo Sans Pro" w:cs="Arial"/>
          <w:sz w:val="20"/>
          <w:szCs w:val="20"/>
        </w:rPr>
      </w:pPr>
    </w:p>
    <w:p w14:paraId="123B51A1" w14:textId="77777777" w:rsidR="00AA5882" w:rsidRDefault="00AA5882" w:rsidP="00AA5882">
      <w:pPr>
        <w:jc w:val="left"/>
        <w:rPr>
          <w:rFonts w:ascii="Neo Sans Pro" w:hAnsi="Neo Sans Pro" w:cs="Arial"/>
          <w:sz w:val="20"/>
          <w:szCs w:val="20"/>
        </w:rPr>
      </w:pPr>
      <w:r w:rsidRPr="00AA5882">
        <w:rPr>
          <w:rFonts w:ascii="Neo Sans Pro" w:hAnsi="Neo Sans Pro" w:cs="Arial"/>
          <w:b/>
          <w:bCs/>
          <w:sz w:val="20"/>
          <w:szCs w:val="20"/>
        </w:rPr>
        <w:t>g) Ampliación en la cobertura de pago</w:t>
      </w:r>
      <w:r w:rsidRPr="00AA5882">
        <w:rPr>
          <w:rFonts w:ascii="Neo Sans Pro" w:hAnsi="Neo Sans Pro" w:cs="Arial"/>
          <w:b/>
          <w:bCs/>
          <w:sz w:val="20"/>
          <w:szCs w:val="20"/>
        </w:rPr>
        <w:br/>
      </w:r>
      <w:r w:rsidRPr="00AA5882">
        <w:rPr>
          <w:rFonts w:ascii="Neo Sans Pro" w:hAnsi="Neo Sans Pro" w:cs="Arial"/>
          <w:sz w:val="20"/>
          <w:szCs w:val="20"/>
        </w:rPr>
        <w:t>Se gestionaron acuerdos con instituciones bancarias y comercios para habilitar pagos mediante tarjetas de débito, crédito y plataformas en línea. Además, se avanza hacia la implementación de cobros mediante una aplicación móvil, cuyo lanzamiento está previsto en los próximos meses.</w:t>
      </w:r>
    </w:p>
    <w:p w14:paraId="05A1B3D7" w14:textId="77777777" w:rsidR="005F10CA" w:rsidRPr="00AA5882" w:rsidRDefault="005F10CA" w:rsidP="00AA5882">
      <w:pPr>
        <w:jc w:val="left"/>
        <w:rPr>
          <w:rFonts w:ascii="Neo Sans Pro" w:hAnsi="Neo Sans Pro" w:cs="Arial"/>
          <w:sz w:val="20"/>
          <w:szCs w:val="20"/>
        </w:rPr>
      </w:pPr>
    </w:p>
    <w:p w14:paraId="10ECA5B6" w14:textId="77777777" w:rsidR="005F10CA" w:rsidRPr="005F10CA" w:rsidRDefault="00AA5882" w:rsidP="00AA5882">
      <w:pPr>
        <w:jc w:val="left"/>
        <w:rPr>
          <w:rFonts w:ascii="Neo Sans Pro" w:hAnsi="Neo Sans Pro" w:cs="Arial"/>
          <w:b/>
          <w:bCs/>
          <w:sz w:val="20"/>
          <w:szCs w:val="20"/>
        </w:rPr>
      </w:pPr>
      <w:r w:rsidRPr="00AA5882">
        <w:rPr>
          <w:rFonts w:ascii="Neo Sans Pro" w:hAnsi="Neo Sans Pro" w:cs="Arial"/>
          <w:b/>
          <w:bCs/>
          <w:sz w:val="20"/>
          <w:szCs w:val="20"/>
        </w:rPr>
        <w:t>h) Modernización del sistema administrativo</w:t>
      </w:r>
      <w:r w:rsidR="005F10CA" w:rsidRPr="005F10CA">
        <w:rPr>
          <w:rFonts w:ascii="Neo Sans Pro" w:hAnsi="Neo Sans Pro" w:cs="Arial"/>
          <w:b/>
          <w:bCs/>
          <w:sz w:val="20"/>
          <w:szCs w:val="20"/>
        </w:rPr>
        <w:t>.</w:t>
      </w:r>
    </w:p>
    <w:p w14:paraId="08B74AC9" w14:textId="4180CFE6" w:rsidR="00AA5882" w:rsidRPr="00AA5882" w:rsidRDefault="00AA5882" w:rsidP="005F10CA">
      <w:pPr>
        <w:jc w:val="both"/>
        <w:rPr>
          <w:rFonts w:ascii="Neo Sans Pro" w:hAnsi="Neo Sans Pro" w:cs="Arial"/>
          <w:sz w:val="20"/>
          <w:szCs w:val="20"/>
        </w:rPr>
      </w:pPr>
      <w:r w:rsidRPr="00AA5882">
        <w:rPr>
          <w:rFonts w:ascii="Neo Sans Pro" w:hAnsi="Neo Sans Pro" w:cs="Arial"/>
          <w:sz w:val="20"/>
          <w:szCs w:val="20"/>
        </w:rPr>
        <w:br/>
        <w:t>Se realizaron mejoras en los sistemas administrativos para optimizar la gestión interna y la eficiencia operativa, favoreciendo tanto a la administración como a los usuarios.</w:t>
      </w:r>
      <w:r w:rsidR="005F10CA">
        <w:rPr>
          <w:rFonts w:ascii="Neo Sans Pro" w:hAnsi="Neo Sans Pro" w:cs="Arial"/>
          <w:sz w:val="20"/>
          <w:szCs w:val="20"/>
        </w:rPr>
        <w:t xml:space="preserve"> Se adquirieron nuevos equipos de cómputo e impresoras. Asimismo, se firmaron convenios y contratos con instituciones bancarias para facilitar pagos con tarjetas de crédito y débito, así como pagos en línea y por transferencias electrónicas.</w:t>
      </w:r>
    </w:p>
    <w:p w14:paraId="7EB6D14F" w14:textId="77777777" w:rsidR="00AA5882" w:rsidRDefault="00AA5882" w:rsidP="00AA5882">
      <w:pPr>
        <w:jc w:val="left"/>
        <w:rPr>
          <w:rFonts w:ascii="Neo Sans Pro" w:hAnsi="Neo Sans Pro" w:cs="Arial"/>
          <w:sz w:val="20"/>
          <w:szCs w:val="20"/>
        </w:rPr>
      </w:pPr>
    </w:p>
    <w:p w14:paraId="78FDC988" w14:textId="2BCECC88" w:rsidR="00E90FA6" w:rsidRPr="00FE2459" w:rsidRDefault="00E90FA6" w:rsidP="00853257">
      <w:pPr>
        <w:pStyle w:val="Prrafodelista"/>
        <w:jc w:val="both"/>
        <w:rPr>
          <w:rFonts w:ascii="Neo Sans Pro" w:hAnsi="Neo Sans Pro" w:cs="Arial"/>
          <w:sz w:val="20"/>
          <w:szCs w:val="20"/>
        </w:rPr>
      </w:pPr>
    </w:p>
    <w:p w14:paraId="71398511" w14:textId="77777777" w:rsidR="00580787" w:rsidRPr="00FE2459" w:rsidRDefault="00580787" w:rsidP="00580787">
      <w:pPr>
        <w:jc w:val="both"/>
        <w:rPr>
          <w:rFonts w:ascii="Neo Sans Pro" w:hAnsi="Neo Sans Pro" w:cs="Arial"/>
          <w:sz w:val="20"/>
          <w:szCs w:val="20"/>
        </w:rPr>
      </w:pPr>
      <w:r w:rsidRPr="00FE2459">
        <w:rPr>
          <w:rFonts w:ascii="Neo Sans Pro" w:hAnsi="Neo Sans Pro" w:cs="Arial"/>
          <w:sz w:val="20"/>
          <w:szCs w:val="20"/>
        </w:rPr>
        <w:t>11. De existir plantas de tratamiento de aguas residuales, señale cuántas hay, en qué municipio, su capacidad y, en su caso, el costo - beneficio.</w:t>
      </w:r>
    </w:p>
    <w:p w14:paraId="46B2C69A" w14:textId="77777777" w:rsidR="00580787" w:rsidRPr="00FE2459" w:rsidRDefault="00580787" w:rsidP="00580787">
      <w:pPr>
        <w:jc w:val="both"/>
        <w:rPr>
          <w:rFonts w:ascii="Neo Sans Pro" w:hAnsi="Neo Sans Pro" w:cs="Arial"/>
          <w:sz w:val="20"/>
          <w:szCs w:val="20"/>
        </w:rPr>
      </w:pPr>
    </w:p>
    <w:p w14:paraId="5379CB4D" w14:textId="77777777" w:rsidR="00580787" w:rsidRPr="00FE2459" w:rsidRDefault="00580787" w:rsidP="00580787">
      <w:pPr>
        <w:jc w:val="both"/>
        <w:rPr>
          <w:rFonts w:ascii="Neo Sans Pro" w:hAnsi="Neo Sans Pro" w:cs="Arial"/>
          <w:sz w:val="20"/>
          <w:szCs w:val="20"/>
        </w:rPr>
      </w:pPr>
    </w:p>
    <w:tbl>
      <w:tblPr>
        <w:tblW w:w="5000" w:type="pct"/>
        <w:jc w:val="center"/>
        <w:tblCellMar>
          <w:left w:w="70" w:type="dxa"/>
          <w:right w:w="70" w:type="dxa"/>
        </w:tblCellMar>
        <w:tblLook w:val="04A0" w:firstRow="1" w:lastRow="0" w:firstColumn="1" w:lastColumn="0" w:noHBand="0" w:noVBand="1"/>
      </w:tblPr>
      <w:tblGrid>
        <w:gridCol w:w="2465"/>
        <w:gridCol w:w="2752"/>
        <w:gridCol w:w="2120"/>
        <w:gridCol w:w="1491"/>
      </w:tblGrid>
      <w:tr w:rsidR="00580787" w:rsidRPr="00FE2459" w14:paraId="59C5E2D6" w14:textId="77777777" w:rsidTr="005F10CA">
        <w:trPr>
          <w:trHeight w:val="480"/>
          <w:jc w:val="center"/>
        </w:trPr>
        <w:tc>
          <w:tcPr>
            <w:tcW w:w="1465"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2791C26" w14:textId="77777777" w:rsidR="00580787" w:rsidRPr="00FE2459" w:rsidRDefault="00580787" w:rsidP="004740DC">
            <w:pPr>
              <w:ind w:right="0"/>
              <w:rPr>
                <w:rFonts w:ascii="Neo Sans Pro" w:eastAsia="Times New Roman" w:hAnsi="Neo Sans Pro" w:cs="Arial"/>
                <w:b/>
                <w:bCs/>
                <w:color w:val="FFFFFF"/>
                <w:sz w:val="20"/>
                <w:szCs w:val="20"/>
                <w:lang w:eastAsia="es-MX"/>
              </w:rPr>
            </w:pPr>
            <w:bookmarkStart w:id="4" w:name="_MON_1422440498"/>
            <w:bookmarkEnd w:id="4"/>
            <w:r w:rsidRPr="00FE2459">
              <w:rPr>
                <w:rFonts w:ascii="Neo Sans Pro" w:eastAsia="Times New Roman" w:hAnsi="Neo Sans Pro" w:cs="Arial"/>
                <w:b/>
                <w:bCs/>
                <w:color w:val="FFFFFF"/>
                <w:sz w:val="20"/>
                <w:szCs w:val="20"/>
                <w:lang w:eastAsia="es-MX"/>
              </w:rPr>
              <w:t>Municipio</w:t>
            </w:r>
          </w:p>
        </w:tc>
        <w:tc>
          <w:tcPr>
            <w:tcW w:w="1353" w:type="pct"/>
            <w:tcBorders>
              <w:top w:val="single" w:sz="4" w:space="0" w:color="auto"/>
              <w:left w:val="nil"/>
              <w:bottom w:val="single" w:sz="4" w:space="0" w:color="auto"/>
              <w:right w:val="single" w:sz="4" w:space="0" w:color="auto"/>
            </w:tcBorders>
            <w:shd w:val="clear" w:color="000000" w:fill="A6A6A6"/>
            <w:vAlign w:val="center"/>
            <w:hideMark/>
          </w:tcPr>
          <w:p w14:paraId="7B3982BE"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No. De Plantas</w:t>
            </w:r>
          </w:p>
        </w:tc>
        <w:tc>
          <w:tcPr>
            <w:tcW w:w="1269" w:type="pct"/>
            <w:tcBorders>
              <w:top w:val="single" w:sz="4" w:space="0" w:color="auto"/>
              <w:left w:val="nil"/>
              <w:bottom w:val="single" w:sz="4" w:space="0" w:color="auto"/>
              <w:right w:val="single" w:sz="4" w:space="0" w:color="auto"/>
            </w:tcBorders>
            <w:shd w:val="clear" w:color="000000" w:fill="A6A6A6"/>
            <w:vAlign w:val="center"/>
            <w:hideMark/>
          </w:tcPr>
          <w:p w14:paraId="6859A1EB"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Capacidad litros/segundo</w:t>
            </w:r>
          </w:p>
        </w:tc>
        <w:tc>
          <w:tcPr>
            <w:tcW w:w="913" w:type="pct"/>
            <w:tcBorders>
              <w:top w:val="single" w:sz="4" w:space="0" w:color="auto"/>
              <w:left w:val="nil"/>
              <w:bottom w:val="single" w:sz="4" w:space="0" w:color="auto"/>
              <w:right w:val="single" w:sz="4" w:space="0" w:color="auto"/>
            </w:tcBorders>
            <w:shd w:val="clear" w:color="000000" w:fill="A6A6A6"/>
            <w:vAlign w:val="center"/>
            <w:hideMark/>
          </w:tcPr>
          <w:p w14:paraId="51A59EB2" w14:textId="77777777" w:rsidR="00580787" w:rsidRPr="00FE2459" w:rsidRDefault="00580787" w:rsidP="004740DC">
            <w:pPr>
              <w:ind w:right="0"/>
              <w:rPr>
                <w:rFonts w:ascii="Neo Sans Pro" w:eastAsia="Times New Roman" w:hAnsi="Neo Sans Pro" w:cs="Arial"/>
                <w:b/>
                <w:bCs/>
                <w:color w:val="FFFFFF"/>
                <w:sz w:val="20"/>
                <w:szCs w:val="20"/>
                <w:lang w:eastAsia="es-MX"/>
              </w:rPr>
            </w:pPr>
            <w:r w:rsidRPr="00FE2459">
              <w:rPr>
                <w:rFonts w:ascii="Neo Sans Pro" w:eastAsia="Times New Roman" w:hAnsi="Neo Sans Pro" w:cs="Arial"/>
                <w:b/>
                <w:bCs/>
                <w:color w:val="FFFFFF"/>
                <w:sz w:val="20"/>
                <w:szCs w:val="20"/>
                <w:lang w:eastAsia="es-MX"/>
              </w:rPr>
              <w:t>Costo-Beneficio</w:t>
            </w:r>
          </w:p>
        </w:tc>
      </w:tr>
      <w:tr w:rsidR="00DB28E7" w:rsidRPr="00FE2459" w14:paraId="586CED80" w14:textId="77777777" w:rsidTr="005F10CA">
        <w:trPr>
          <w:trHeight w:val="240"/>
          <w:jc w:val="center"/>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14:paraId="179C1339" w14:textId="04CAF8F5"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Úrsulo Galván </w:t>
            </w:r>
          </w:p>
        </w:tc>
        <w:tc>
          <w:tcPr>
            <w:tcW w:w="1353" w:type="pct"/>
            <w:tcBorders>
              <w:top w:val="nil"/>
              <w:left w:val="nil"/>
              <w:bottom w:val="single" w:sz="4" w:space="0" w:color="auto"/>
              <w:right w:val="single" w:sz="4" w:space="0" w:color="auto"/>
            </w:tcBorders>
            <w:shd w:val="clear" w:color="auto" w:fill="auto"/>
            <w:noWrap/>
            <w:vAlign w:val="bottom"/>
            <w:hideMark/>
          </w:tcPr>
          <w:p w14:paraId="599A1F43" w14:textId="7A31E0E9" w:rsidR="00DB28E7" w:rsidRPr="00FE2459" w:rsidRDefault="00DB28E7" w:rsidP="00DB28E7">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1 </w:t>
            </w:r>
            <w:r w:rsidR="005F10CA" w:rsidRPr="00FE2459">
              <w:rPr>
                <w:rFonts w:ascii="Neo Sans Pro" w:eastAsia="Times New Roman" w:hAnsi="Neo Sans Pro" w:cs="Arial"/>
                <w:color w:val="000000"/>
                <w:sz w:val="20"/>
                <w:szCs w:val="20"/>
                <w:lang w:eastAsia="es-MX"/>
              </w:rPr>
              <w:t>sistema</w:t>
            </w:r>
            <w:r w:rsidRPr="00FE2459">
              <w:rPr>
                <w:rFonts w:ascii="Neo Sans Pro" w:eastAsia="Times New Roman" w:hAnsi="Neo Sans Pro" w:cs="Arial"/>
                <w:color w:val="000000"/>
                <w:sz w:val="20"/>
                <w:szCs w:val="20"/>
                <w:lang w:eastAsia="es-MX"/>
              </w:rPr>
              <w:t xml:space="preserve"> </w:t>
            </w:r>
            <w:r w:rsidR="005F10CA" w:rsidRPr="00FE2459">
              <w:rPr>
                <w:rFonts w:ascii="Neo Sans Pro" w:eastAsia="Times New Roman" w:hAnsi="Neo Sans Pro" w:cs="Arial"/>
                <w:color w:val="000000"/>
                <w:sz w:val="20"/>
                <w:szCs w:val="20"/>
                <w:lang w:eastAsia="es-MX"/>
              </w:rPr>
              <w:t>lacunario</w:t>
            </w:r>
            <w:r w:rsidRPr="00FE2459">
              <w:rPr>
                <w:rFonts w:ascii="Neo Sans Pro" w:eastAsia="Times New Roman" w:hAnsi="Neo Sans Pro" w:cs="Arial"/>
                <w:color w:val="000000"/>
                <w:sz w:val="20"/>
                <w:szCs w:val="20"/>
                <w:lang w:eastAsia="es-MX"/>
              </w:rPr>
              <w:t xml:space="preserve"> Zempoala</w:t>
            </w:r>
          </w:p>
        </w:tc>
        <w:tc>
          <w:tcPr>
            <w:tcW w:w="1269" w:type="pct"/>
            <w:tcBorders>
              <w:top w:val="nil"/>
              <w:left w:val="nil"/>
              <w:bottom w:val="single" w:sz="4" w:space="0" w:color="auto"/>
              <w:right w:val="single" w:sz="4" w:space="0" w:color="auto"/>
            </w:tcBorders>
            <w:shd w:val="clear" w:color="auto" w:fill="auto"/>
            <w:noWrap/>
            <w:vAlign w:val="center"/>
            <w:hideMark/>
          </w:tcPr>
          <w:p w14:paraId="08AE37F7" w14:textId="434A662E" w:rsidR="00DB28E7" w:rsidRPr="00FE2459" w:rsidRDefault="00DB28E7" w:rsidP="00DB28E7">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50 </w:t>
            </w:r>
            <w:proofErr w:type="spellStart"/>
            <w:r w:rsidRPr="00FE2459">
              <w:rPr>
                <w:rFonts w:ascii="Neo Sans Pro" w:eastAsia="Times New Roman" w:hAnsi="Neo Sans Pro" w:cs="Arial"/>
                <w:color w:val="000000"/>
                <w:sz w:val="20"/>
                <w:szCs w:val="20"/>
                <w:lang w:eastAsia="es-MX"/>
              </w:rPr>
              <w:t>lps</w:t>
            </w:r>
            <w:proofErr w:type="spellEnd"/>
          </w:p>
        </w:tc>
        <w:tc>
          <w:tcPr>
            <w:tcW w:w="913" w:type="pct"/>
            <w:tcBorders>
              <w:top w:val="nil"/>
              <w:left w:val="nil"/>
              <w:bottom w:val="single" w:sz="4" w:space="0" w:color="auto"/>
              <w:right w:val="single" w:sz="4" w:space="0" w:color="auto"/>
            </w:tcBorders>
            <w:shd w:val="clear" w:color="auto" w:fill="auto"/>
            <w:noWrap/>
            <w:vAlign w:val="center"/>
            <w:hideMark/>
          </w:tcPr>
          <w:p w14:paraId="1EA5C46B" w14:textId="77777777"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r w:rsidR="00DB28E7" w:rsidRPr="00FE2459" w14:paraId="7107E507" w14:textId="77777777" w:rsidTr="005F10CA">
        <w:trPr>
          <w:trHeight w:val="225"/>
          <w:jc w:val="center"/>
        </w:trPr>
        <w:tc>
          <w:tcPr>
            <w:tcW w:w="1465" w:type="pct"/>
            <w:tcBorders>
              <w:top w:val="nil"/>
              <w:left w:val="single" w:sz="4" w:space="0" w:color="auto"/>
              <w:bottom w:val="single" w:sz="4" w:space="0" w:color="auto"/>
              <w:right w:val="single" w:sz="4" w:space="0" w:color="auto"/>
            </w:tcBorders>
            <w:shd w:val="clear" w:color="auto" w:fill="auto"/>
            <w:noWrap/>
            <w:vAlign w:val="center"/>
            <w:hideMark/>
          </w:tcPr>
          <w:p w14:paraId="65E01CEB" w14:textId="3EC97169"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Úrsulo Galván </w:t>
            </w:r>
          </w:p>
        </w:tc>
        <w:tc>
          <w:tcPr>
            <w:tcW w:w="1353" w:type="pct"/>
            <w:tcBorders>
              <w:top w:val="nil"/>
              <w:left w:val="nil"/>
              <w:bottom w:val="single" w:sz="4" w:space="0" w:color="auto"/>
              <w:right w:val="single" w:sz="4" w:space="0" w:color="auto"/>
            </w:tcBorders>
            <w:shd w:val="clear" w:color="auto" w:fill="auto"/>
            <w:noWrap/>
            <w:vAlign w:val="bottom"/>
            <w:hideMark/>
          </w:tcPr>
          <w:p w14:paraId="61C23FE8" w14:textId="7767DDF5" w:rsidR="00DB28E7" w:rsidRPr="00FE2459" w:rsidRDefault="00DB28E7" w:rsidP="00DB28E7">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1 </w:t>
            </w:r>
            <w:r w:rsidR="005F10CA" w:rsidRPr="00FE2459">
              <w:rPr>
                <w:rFonts w:ascii="Neo Sans Pro" w:eastAsia="Times New Roman" w:hAnsi="Neo Sans Pro" w:cs="Arial"/>
                <w:color w:val="000000"/>
                <w:sz w:val="20"/>
                <w:szCs w:val="20"/>
                <w:lang w:eastAsia="es-MX"/>
              </w:rPr>
              <w:t>planta</w:t>
            </w:r>
            <w:r w:rsidRPr="00FE2459">
              <w:rPr>
                <w:rFonts w:ascii="Neo Sans Pro" w:eastAsia="Times New Roman" w:hAnsi="Neo Sans Pro" w:cs="Arial"/>
                <w:color w:val="000000"/>
                <w:sz w:val="20"/>
                <w:szCs w:val="20"/>
                <w:lang w:eastAsia="es-MX"/>
              </w:rPr>
              <w:t xml:space="preserve"> de lodos activados</w:t>
            </w:r>
          </w:p>
        </w:tc>
        <w:tc>
          <w:tcPr>
            <w:tcW w:w="1269" w:type="pct"/>
            <w:tcBorders>
              <w:top w:val="nil"/>
              <w:left w:val="nil"/>
              <w:bottom w:val="single" w:sz="4" w:space="0" w:color="auto"/>
              <w:right w:val="single" w:sz="4" w:space="0" w:color="auto"/>
            </w:tcBorders>
            <w:shd w:val="clear" w:color="auto" w:fill="auto"/>
            <w:noWrap/>
            <w:vAlign w:val="center"/>
            <w:hideMark/>
          </w:tcPr>
          <w:p w14:paraId="741A8DA1" w14:textId="7981A641" w:rsidR="00DB28E7" w:rsidRPr="00FE2459" w:rsidRDefault="00DB28E7" w:rsidP="00DB28E7">
            <w:pPr>
              <w:ind w:right="0"/>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xml:space="preserve">4 </w:t>
            </w:r>
            <w:proofErr w:type="spellStart"/>
            <w:r w:rsidRPr="00FE2459">
              <w:rPr>
                <w:rFonts w:ascii="Neo Sans Pro" w:eastAsia="Times New Roman" w:hAnsi="Neo Sans Pro" w:cs="Arial"/>
                <w:color w:val="000000"/>
                <w:sz w:val="20"/>
                <w:szCs w:val="20"/>
                <w:lang w:eastAsia="es-MX"/>
              </w:rPr>
              <w:t>lps</w:t>
            </w:r>
            <w:proofErr w:type="spellEnd"/>
          </w:p>
        </w:tc>
        <w:tc>
          <w:tcPr>
            <w:tcW w:w="913" w:type="pct"/>
            <w:tcBorders>
              <w:top w:val="nil"/>
              <w:left w:val="nil"/>
              <w:bottom w:val="single" w:sz="4" w:space="0" w:color="auto"/>
              <w:right w:val="single" w:sz="4" w:space="0" w:color="auto"/>
            </w:tcBorders>
            <w:shd w:val="clear" w:color="auto" w:fill="auto"/>
            <w:noWrap/>
            <w:vAlign w:val="center"/>
            <w:hideMark/>
          </w:tcPr>
          <w:p w14:paraId="39B85E56" w14:textId="77777777"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r w:rsidR="00DB28E7" w:rsidRPr="00FE2459" w14:paraId="541B26C1" w14:textId="77777777" w:rsidTr="005F10CA">
        <w:trPr>
          <w:trHeight w:val="225"/>
          <w:jc w:val="center"/>
        </w:trPr>
        <w:tc>
          <w:tcPr>
            <w:tcW w:w="1465" w:type="pct"/>
            <w:tcBorders>
              <w:top w:val="nil"/>
              <w:left w:val="single" w:sz="4" w:space="0" w:color="auto"/>
              <w:bottom w:val="single" w:sz="4" w:space="0" w:color="auto"/>
              <w:right w:val="single" w:sz="4" w:space="0" w:color="auto"/>
            </w:tcBorders>
            <w:shd w:val="clear" w:color="auto" w:fill="auto"/>
            <w:noWrap/>
            <w:vAlign w:val="bottom"/>
            <w:hideMark/>
          </w:tcPr>
          <w:p w14:paraId="56EA2AF0" w14:textId="77777777"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353" w:type="pct"/>
            <w:tcBorders>
              <w:top w:val="nil"/>
              <w:left w:val="nil"/>
              <w:bottom w:val="single" w:sz="4" w:space="0" w:color="auto"/>
              <w:right w:val="single" w:sz="4" w:space="0" w:color="auto"/>
            </w:tcBorders>
            <w:shd w:val="clear" w:color="auto" w:fill="auto"/>
            <w:noWrap/>
            <w:vAlign w:val="bottom"/>
            <w:hideMark/>
          </w:tcPr>
          <w:p w14:paraId="707E1A84" w14:textId="77777777"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1269" w:type="pct"/>
            <w:tcBorders>
              <w:top w:val="nil"/>
              <w:left w:val="nil"/>
              <w:bottom w:val="single" w:sz="4" w:space="0" w:color="auto"/>
              <w:right w:val="single" w:sz="4" w:space="0" w:color="auto"/>
            </w:tcBorders>
            <w:shd w:val="clear" w:color="auto" w:fill="auto"/>
            <w:noWrap/>
            <w:vAlign w:val="bottom"/>
            <w:hideMark/>
          </w:tcPr>
          <w:p w14:paraId="30CC3849" w14:textId="77777777"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c>
          <w:tcPr>
            <w:tcW w:w="913" w:type="pct"/>
            <w:tcBorders>
              <w:top w:val="nil"/>
              <w:left w:val="nil"/>
              <w:bottom w:val="single" w:sz="4" w:space="0" w:color="auto"/>
              <w:right w:val="single" w:sz="4" w:space="0" w:color="auto"/>
            </w:tcBorders>
            <w:shd w:val="clear" w:color="auto" w:fill="auto"/>
            <w:noWrap/>
            <w:vAlign w:val="bottom"/>
            <w:hideMark/>
          </w:tcPr>
          <w:p w14:paraId="25980597" w14:textId="77777777" w:rsidR="00DB28E7" w:rsidRPr="00FE2459" w:rsidRDefault="00DB28E7" w:rsidP="00DB28E7">
            <w:pPr>
              <w:ind w:right="0"/>
              <w:jc w:val="left"/>
              <w:rPr>
                <w:rFonts w:ascii="Neo Sans Pro" w:eastAsia="Times New Roman" w:hAnsi="Neo Sans Pro" w:cs="Arial"/>
                <w:color w:val="000000"/>
                <w:sz w:val="20"/>
                <w:szCs w:val="20"/>
                <w:lang w:eastAsia="es-MX"/>
              </w:rPr>
            </w:pPr>
            <w:r w:rsidRPr="00FE2459">
              <w:rPr>
                <w:rFonts w:ascii="Neo Sans Pro" w:eastAsia="Times New Roman" w:hAnsi="Neo Sans Pro" w:cs="Arial"/>
                <w:color w:val="000000"/>
                <w:sz w:val="20"/>
                <w:szCs w:val="20"/>
                <w:lang w:eastAsia="es-MX"/>
              </w:rPr>
              <w:t> </w:t>
            </w:r>
          </w:p>
        </w:tc>
      </w:tr>
    </w:tbl>
    <w:p w14:paraId="00CFF9D9" w14:textId="77777777" w:rsidR="00853257" w:rsidRPr="00FE2459" w:rsidRDefault="00853257" w:rsidP="00853257">
      <w:pPr>
        <w:jc w:val="both"/>
        <w:rPr>
          <w:rFonts w:ascii="Neo Sans Pro" w:hAnsi="Neo Sans Pro" w:cs="Arial"/>
          <w:b/>
          <w:bCs/>
          <w:sz w:val="20"/>
          <w:szCs w:val="20"/>
        </w:rPr>
      </w:pPr>
    </w:p>
    <w:p w14:paraId="265CFCB8" w14:textId="77777777" w:rsidR="00853257" w:rsidRPr="00FE2459" w:rsidRDefault="00853257" w:rsidP="00D27220">
      <w:pPr>
        <w:rPr>
          <w:rFonts w:ascii="Neo Sans Pro" w:hAnsi="Neo Sans Pro" w:cs="Arial"/>
          <w:b/>
          <w:bCs/>
          <w:sz w:val="20"/>
          <w:szCs w:val="20"/>
        </w:rPr>
      </w:pPr>
    </w:p>
    <w:p w14:paraId="3B337603" w14:textId="45B0B001" w:rsidR="00D27220" w:rsidRPr="00FE2459" w:rsidRDefault="00D27220" w:rsidP="00D27220">
      <w:pPr>
        <w:rPr>
          <w:rFonts w:ascii="Neo Sans Pro" w:hAnsi="Neo Sans Pro" w:cs="Arial"/>
          <w:b/>
          <w:bCs/>
          <w:sz w:val="20"/>
          <w:szCs w:val="20"/>
        </w:rPr>
      </w:pPr>
      <w:r w:rsidRPr="00FE2459">
        <w:rPr>
          <w:rFonts w:ascii="Neo Sans Pro" w:hAnsi="Neo Sans Pro" w:cs="Arial"/>
          <w:b/>
          <w:bCs/>
          <w:sz w:val="20"/>
          <w:szCs w:val="20"/>
        </w:rPr>
        <w:t>Anexos del Cuestionario</w:t>
      </w:r>
      <w:r w:rsidR="00FA749D" w:rsidRPr="00FE2459">
        <w:rPr>
          <w:rFonts w:ascii="Neo Sans Pro" w:hAnsi="Neo Sans Pro" w:cs="Arial"/>
          <w:b/>
          <w:bCs/>
          <w:sz w:val="20"/>
          <w:szCs w:val="20"/>
        </w:rPr>
        <w:t xml:space="preserve"> de Úrsulo Galván </w:t>
      </w:r>
    </w:p>
    <w:p w14:paraId="615225C7" w14:textId="77777777" w:rsidR="00FA749D" w:rsidRPr="00FE2459" w:rsidRDefault="00FA749D" w:rsidP="00D27220">
      <w:pPr>
        <w:rPr>
          <w:rFonts w:ascii="Neo Sans Pro" w:hAnsi="Neo Sans Pro" w:cs="Arial"/>
          <w:b/>
          <w:bCs/>
          <w:sz w:val="20"/>
          <w:szCs w:val="20"/>
        </w:rPr>
      </w:pPr>
    </w:p>
    <w:p w14:paraId="40431307" w14:textId="04368CA0" w:rsidR="00D27220" w:rsidRDefault="00D27220" w:rsidP="00D27220">
      <w:pPr>
        <w:pStyle w:val="Prrafodelista"/>
        <w:numPr>
          <w:ilvl w:val="0"/>
          <w:numId w:val="2"/>
        </w:numPr>
        <w:spacing w:after="160" w:line="360" w:lineRule="auto"/>
        <w:ind w:right="0"/>
        <w:jc w:val="both"/>
        <w:rPr>
          <w:rFonts w:ascii="Neo Sans Pro" w:hAnsi="Neo Sans Pro" w:cs="Arial"/>
          <w:sz w:val="20"/>
          <w:szCs w:val="20"/>
        </w:rPr>
      </w:pPr>
      <w:r w:rsidRPr="00FE2459">
        <w:rPr>
          <w:rFonts w:ascii="Neo Sans Pro" w:hAnsi="Neo Sans Pro" w:cs="Arial"/>
          <w:sz w:val="20"/>
          <w:szCs w:val="20"/>
        </w:rPr>
        <w:t xml:space="preserve">Ley 21 de aguas del Estado de Veracruz, </w:t>
      </w:r>
      <w:r w:rsidR="00062D69">
        <w:rPr>
          <w:rFonts w:ascii="Neo Sans Pro" w:hAnsi="Neo Sans Pro" w:cs="Arial"/>
          <w:sz w:val="20"/>
          <w:szCs w:val="20"/>
        </w:rPr>
        <w:t xml:space="preserve">artículos </w:t>
      </w:r>
      <w:r w:rsidRPr="00FE2459">
        <w:rPr>
          <w:rFonts w:ascii="Neo Sans Pro" w:hAnsi="Neo Sans Pro" w:cs="Arial"/>
          <w:sz w:val="20"/>
          <w:szCs w:val="20"/>
        </w:rPr>
        <w:t>que facultan el cobro de los servicios de agua potable.</w:t>
      </w:r>
      <w:r w:rsidR="00791CEF">
        <w:rPr>
          <w:rFonts w:ascii="Neo Sans Pro" w:hAnsi="Neo Sans Pro" w:cs="Arial"/>
          <w:sz w:val="20"/>
          <w:szCs w:val="20"/>
        </w:rPr>
        <w:t xml:space="preserve"> </w:t>
      </w:r>
    </w:p>
    <w:p w14:paraId="4FC5122D" w14:textId="2DCEFE5B" w:rsidR="00062D69" w:rsidRPr="00062D69" w:rsidRDefault="00062D69" w:rsidP="00F250BF">
      <w:pPr>
        <w:pStyle w:val="Prrafodelista"/>
        <w:numPr>
          <w:ilvl w:val="0"/>
          <w:numId w:val="2"/>
        </w:numPr>
        <w:spacing w:after="160" w:line="360" w:lineRule="auto"/>
        <w:ind w:right="0"/>
        <w:jc w:val="both"/>
        <w:rPr>
          <w:rFonts w:ascii="Neo Sans Pro" w:hAnsi="Neo Sans Pro" w:cs="Arial"/>
          <w:sz w:val="20"/>
          <w:szCs w:val="20"/>
        </w:rPr>
      </w:pPr>
      <w:r w:rsidRPr="00062D69">
        <w:rPr>
          <w:rFonts w:ascii="Neo Sans Pro" w:hAnsi="Neo Sans Pro" w:cs="Arial"/>
          <w:sz w:val="20"/>
          <w:szCs w:val="20"/>
        </w:rPr>
        <w:t xml:space="preserve">Ley número 695, de ingresos del municipio de Úrsulo Galván, del estado de Veracruz de Ignacio de la </w:t>
      </w:r>
      <w:r>
        <w:rPr>
          <w:rFonts w:ascii="Neo Sans Pro" w:hAnsi="Neo Sans Pro" w:cs="Arial"/>
          <w:sz w:val="20"/>
          <w:szCs w:val="20"/>
        </w:rPr>
        <w:t>L</w:t>
      </w:r>
      <w:r w:rsidRPr="00062D69">
        <w:rPr>
          <w:rFonts w:ascii="Neo Sans Pro" w:hAnsi="Neo Sans Pro" w:cs="Arial"/>
          <w:sz w:val="20"/>
          <w:szCs w:val="20"/>
        </w:rPr>
        <w:t>lave, correspondiente al ejercicio fiscal del año 2024</w:t>
      </w:r>
      <w:r>
        <w:rPr>
          <w:rFonts w:ascii="Neo Sans Pro" w:hAnsi="Neo Sans Pro" w:cs="Arial"/>
          <w:sz w:val="20"/>
          <w:szCs w:val="20"/>
        </w:rPr>
        <w:t>.</w:t>
      </w:r>
    </w:p>
    <w:p w14:paraId="73819F7D" w14:textId="14E6DF23" w:rsidR="00062D69" w:rsidRDefault="00791CEF" w:rsidP="00D27220">
      <w:pPr>
        <w:pStyle w:val="Prrafodelista"/>
        <w:numPr>
          <w:ilvl w:val="0"/>
          <w:numId w:val="2"/>
        </w:numPr>
        <w:spacing w:after="160" w:line="360" w:lineRule="auto"/>
        <w:ind w:right="0"/>
        <w:jc w:val="both"/>
        <w:rPr>
          <w:rFonts w:ascii="Neo Sans Pro" w:hAnsi="Neo Sans Pro" w:cs="Arial"/>
          <w:sz w:val="20"/>
          <w:szCs w:val="20"/>
        </w:rPr>
      </w:pPr>
      <w:r>
        <w:rPr>
          <w:rFonts w:ascii="Neo Sans Pro" w:hAnsi="Neo Sans Pro" w:cs="Arial"/>
          <w:sz w:val="20"/>
          <w:szCs w:val="20"/>
        </w:rPr>
        <w:t>Ac</w:t>
      </w:r>
      <w:r w:rsidR="00062D69">
        <w:rPr>
          <w:rFonts w:ascii="Neo Sans Pro" w:hAnsi="Neo Sans Pro" w:cs="Arial"/>
          <w:sz w:val="20"/>
          <w:szCs w:val="20"/>
        </w:rPr>
        <w:t>ta de Cabildo SO-18BIS/2024 de fecha 05 de septiembre del 2024 mediante la cual el cabildo autora las tarifas vigentes en el ejercicio 2024 y se prevé que sean las misma para el ejercicio 2025.</w:t>
      </w:r>
    </w:p>
    <w:p w14:paraId="57842970" w14:textId="0A34AB3A" w:rsidR="00791CEF" w:rsidRDefault="00791CEF" w:rsidP="00D27220">
      <w:pPr>
        <w:pStyle w:val="Prrafodelista"/>
        <w:numPr>
          <w:ilvl w:val="0"/>
          <w:numId w:val="2"/>
        </w:numPr>
        <w:spacing w:after="160" w:line="360" w:lineRule="auto"/>
        <w:ind w:right="0"/>
        <w:jc w:val="both"/>
        <w:rPr>
          <w:rFonts w:ascii="Neo Sans Pro" w:hAnsi="Neo Sans Pro" w:cs="Arial"/>
          <w:sz w:val="20"/>
          <w:szCs w:val="20"/>
        </w:rPr>
      </w:pPr>
      <w:r>
        <w:rPr>
          <w:rFonts w:ascii="Neo Sans Pro" w:eastAsia="Times New Roman" w:hAnsi="Neo Sans Pro" w:cs="Arial"/>
          <w:color w:val="000000"/>
          <w:sz w:val="20"/>
          <w:szCs w:val="20"/>
          <w:lang w:eastAsia="es-MX"/>
        </w:rPr>
        <w:t>A</w:t>
      </w:r>
      <w:r w:rsidRPr="00913AD8">
        <w:rPr>
          <w:rFonts w:ascii="Neo Sans Pro" w:hAnsi="Neo Sans Pro" w:cs="Arial"/>
          <w:sz w:val="20"/>
          <w:szCs w:val="20"/>
        </w:rPr>
        <w:t>cta de cabildo número SO-25 BIS/2024 de fecha 19 de diciembre del 2024</w:t>
      </w:r>
      <w:r>
        <w:rPr>
          <w:rFonts w:ascii="Neo Sans Pro" w:hAnsi="Neo Sans Pro" w:cs="Arial"/>
          <w:sz w:val="20"/>
          <w:szCs w:val="20"/>
        </w:rPr>
        <w:t xml:space="preserve">, </w:t>
      </w:r>
      <w:r>
        <w:rPr>
          <w:rFonts w:ascii="Neo Sans Pro" w:hAnsi="Neo Sans Pro" w:cs="Arial"/>
          <w:sz w:val="20"/>
          <w:szCs w:val="20"/>
        </w:rPr>
        <w:t>en que se establecen las tarifas</w:t>
      </w:r>
      <w:r>
        <w:rPr>
          <w:rFonts w:ascii="Neo Sans Pro" w:eastAsia="Times New Roman" w:hAnsi="Neo Sans Pro" w:cs="Arial"/>
          <w:sz w:val="20"/>
          <w:szCs w:val="20"/>
          <w:lang w:eastAsia="es-MX"/>
        </w:rPr>
        <w:t xml:space="preserve"> de cuota fija visible en la tabla de las páginas 5 y 6 de 7. Estructura actualizada en el ejercicio 2024</w:t>
      </w:r>
      <w:r>
        <w:rPr>
          <w:rFonts w:ascii="Neo Sans Pro" w:eastAsia="Times New Roman" w:hAnsi="Neo Sans Pro" w:cs="Arial"/>
          <w:sz w:val="20"/>
          <w:szCs w:val="20"/>
          <w:lang w:eastAsia="es-MX"/>
        </w:rPr>
        <w:t xml:space="preserve">, y la cual deja sin efecto el acta </w:t>
      </w:r>
      <w:r>
        <w:rPr>
          <w:rFonts w:ascii="Neo Sans Pro" w:hAnsi="Neo Sans Pro" w:cs="Arial"/>
          <w:sz w:val="20"/>
          <w:szCs w:val="20"/>
        </w:rPr>
        <w:t>SO-18BIS/2024 de fecha 05 de septiembre del 2024</w:t>
      </w:r>
      <w:r w:rsidR="00E11423">
        <w:rPr>
          <w:rFonts w:ascii="Neo Sans Pro" w:hAnsi="Neo Sans Pro" w:cs="Arial"/>
          <w:sz w:val="20"/>
          <w:szCs w:val="20"/>
        </w:rPr>
        <w:t xml:space="preserve">, que contiene: </w:t>
      </w:r>
    </w:p>
    <w:p w14:paraId="6F0E4EE6" w14:textId="77777777" w:rsidR="00E11423" w:rsidRDefault="00E11423" w:rsidP="00E11423">
      <w:pPr>
        <w:spacing w:after="160" w:line="360" w:lineRule="auto"/>
        <w:ind w:right="0"/>
        <w:jc w:val="both"/>
        <w:rPr>
          <w:rFonts w:ascii="Neo Sans Pro" w:hAnsi="Neo Sans Pro" w:cs="Arial"/>
          <w:sz w:val="20"/>
          <w:szCs w:val="20"/>
        </w:rPr>
      </w:pPr>
    </w:p>
    <w:p w14:paraId="4727D198" w14:textId="77777777" w:rsidR="00E11423" w:rsidRDefault="00E11423" w:rsidP="00E11423">
      <w:pPr>
        <w:pStyle w:val="Prrafodelista"/>
        <w:numPr>
          <w:ilvl w:val="0"/>
          <w:numId w:val="2"/>
        </w:numPr>
        <w:spacing w:after="160" w:line="360" w:lineRule="auto"/>
        <w:ind w:right="0"/>
        <w:jc w:val="both"/>
        <w:rPr>
          <w:rFonts w:ascii="Neo Sans Pro" w:hAnsi="Neo Sans Pro" w:cs="Arial"/>
          <w:sz w:val="20"/>
          <w:szCs w:val="20"/>
        </w:rPr>
      </w:pPr>
      <w:r w:rsidRPr="00E11423">
        <w:rPr>
          <w:rFonts w:ascii="Neo Sans Pro" w:hAnsi="Neo Sans Pro" w:cs="Arial"/>
          <w:sz w:val="20"/>
          <w:szCs w:val="20"/>
        </w:rPr>
        <w:lastRenderedPageBreak/>
        <w:t>Tabla descriptiva del total de usuarios, usuarios con medidor y usuarios con cuota fija, indicando porcentaje de la recaudación.</w:t>
      </w:r>
    </w:p>
    <w:p w14:paraId="47BF39A3" w14:textId="77777777" w:rsidR="006E1170" w:rsidRPr="006E1170" w:rsidRDefault="006E1170" w:rsidP="006E1170">
      <w:pPr>
        <w:pStyle w:val="Prrafodelista"/>
        <w:rPr>
          <w:rFonts w:ascii="Neo Sans Pro" w:hAnsi="Neo Sans Pro" w:cs="Arial"/>
          <w:sz w:val="20"/>
          <w:szCs w:val="20"/>
        </w:rPr>
      </w:pPr>
    </w:p>
    <w:p w14:paraId="4D68C7A1" w14:textId="07A110E3" w:rsidR="006E1170" w:rsidRPr="00E11423" w:rsidRDefault="006E1170" w:rsidP="00E11423">
      <w:pPr>
        <w:pStyle w:val="Prrafodelista"/>
        <w:numPr>
          <w:ilvl w:val="0"/>
          <w:numId w:val="2"/>
        </w:numPr>
        <w:spacing w:after="160" w:line="360" w:lineRule="auto"/>
        <w:ind w:right="0"/>
        <w:jc w:val="both"/>
        <w:rPr>
          <w:rFonts w:ascii="Neo Sans Pro" w:hAnsi="Neo Sans Pro" w:cs="Arial"/>
          <w:sz w:val="20"/>
          <w:szCs w:val="20"/>
        </w:rPr>
      </w:pPr>
      <w:r>
        <w:rPr>
          <w:rFonts w:ascii="Neo Sans Pro" w:hAnsi="Neo Sans Pro" w:cs="Arial"/>
          <w:sz w:val="20"/>
          <w:szCs w:val="20"/>
        </w:rPr>
        <w:t>Cuestionario de Información básica de prestadores de servicio de agua potable.</w:t>
      </w:r>
    </w:p>
    <w:p w14:paraId="2E27C7C6" w14:textId="46148391" w:rsidR="00E11423" w:rsidRDefault="006E1170" w:rsidP="006E1170">
      <w:pPr>
        <w:pStyle w:val="Prrafodelista"/>
        <w:numPr>
          <w:ilvl w:val="0"/>
          <w:numId w:val="2"/>
        </w:numPr>
        <w:spacing w:after="160" w:line="360" w:lineRule="auto"/>
        <w:ind w:right="0"/>
        <w:jc w:val="both"/>
        <w:rPr>
          <w:rFonts w:ascii="Neo Sans Pro" w:hAnsi="Neo Sans Pro" w:cs="Arial"/>
          <w:sz w:val="20"/>
          <w:szCs w:val="20"/>
        </w:rPr>
      </w:pPr>
      <w:r>
        <w:rPr>
          <w:rFonts w:ascii="Neo Sans Pro" w:hAnsi="Neo Sans Pro" w:cs="Arial"/>
          <w:sz w:val="20"/>
          <w:szCs w:val="20"/>
        </w:rPr>
        <w:t>Cobro coactivo. Formatos del PAE Procedimiento Administrativo de Ejecución.</w:t>
      </w:r>
    </w:p>
    <w:p w14:paraId="409D223A" w14:textId="599517CD" w:rsidR="006E1170" w:rsidRDefault="006E1170" w:rsidP="006E1170">
      <w:pPr>
        <w:pStyle w:val="Prrafodelista"/>
        <w:numPr>
          <w:ilvl w:val="0"/>
          <w:numId w:val="2"/>
        </w:numPr>
        <w:spacing w:after="160" w:line="360" w:lineRule="auto"/>
        <w:ind w:right="0"/>
        <w:jc w:val="both"/>
        <w:rPr>
          <w:rFonts w:ascii="Neo Sans Pro" w:hAnsi="Neo Sans Pro" w:cs="Arial"/>
          <w:sz w:val="20"/>
          <w:szCs w:val="20"/>
        </w:rPr>
      </w:pPr>
      <w:r>
        <w:rPr>
          <w:rFonts w:ascii="Neo Sans Pro" w:hAnsi="Neo Sans Pro" w:cs="Arial"/>
          <w:sz w:val="20"/>
          <w:szCs w:val="20"/>
        </w:rPr>
        <w:t xml:space="preserve">Evidencia de contratos suscritos con instituciones financieras para </w:t>
      </w:r>
      <w:proofErr w:type="spellStart"/>
      <w:r>
        <w:rPr>
          <w:rFonts w:ascii="Neo Sans Pro" w:hAnsi="Neo Sans Pro" w:cs="Arial"/>
          <w:sz w:val="20"/>
          <w:szCs w:val="20"/>
        </w:rPr>
        <w:t>kla</w:t>
      </w:r>
      <w:proofErr w:type="spellEnd"/>
      <w:r>
        <w:rPr>
          <w:rFonts w:ascii="Neo Sans Pro" w:hAnsi="Neo Sans Pro" w:cs="Arial"/>
          <w:sz w:val="20"/>
          <w:szCs w:val="20"/>
        </w:rPr>
        <w:t xml:space="preserve"> contratación de terminales punto de venta para cobranza con tarjetas de débito y crédito, así como pagos en línea mediane cuenta concentradora.</w:t>
      </w:r>
    </w:p>
    <w:p w14:paraId="02EDA460" w14:textId="5A1FDD5D" w:rsidR="006E1170" w:rsidRDefault="006E1170" w:rsidP="006E1170">
      <w:pPr>
        <w:pStyle w:val="Prrafodelista"/>
        <w:numPr>
          <w:ilvl w:val="0"/>
          <w:numId w:val="2"/>
        </w:numPr>
        <w:spacing w:after="160" w:line="360" w:lineRule="auto"/>
        <w:ind w:right="0"/>
        <w:jc w:val="both"/>
        <w:rPr>
          <w:rFonts w:ascii="Neo Sans Pro" w:hAnsi="Neo Sans Pro" w:cs="Arial"/>
          <w:sz w:val="20"/>
          <w:szCs w:val="20"/>
        </w:rPr>
      </w:pPr>
      <w:r>
        <w:rPr>
          <w:rFonts w:ascii="Neo Sans Pro" w:hAnsi="Neo Sans Pro" w:cs="Arial"/>
          <w:sz w:val="20"/>
          <w:szCs w:val="20"/>
        </w:rPr>
        <w:t>Eficiencia administrativa; evidencia de diferentes reportes emitidos por el Software contratado para hacer eficientes las tareas administración y de distintas actividades comerciales, técnicas y de control.</w:t>
      </w:r>
    </w:p>
    <w:p w14:paraId="579253F6" w14:textId="77777777" w:rsidR="006E1170" w:rsidRPr="006E1170" w:rsidRDefault="006E1170" w:rsidP="006E1170">
      <w:pPr>
        <w:pStyle w:val="Prrafodelista"/>
        <w:numPr>
          <w:ilvl w:val="0"/>
          <w:numId w:val="2"/>
        </w:numPr>
        <w:spacing w:after="160" w:line="360" w:lineRule="auto"/>
        <w:ind w:right="0"/>
        <w:jc w:val="both"/>
        <w:rPr>
          <w:rFonts w:ascii="Neo Sans Pro" w:hAnsi="Neo Sans Pro"/>
          <w:sz w:val="20"/>
          <w:szCs w:val="20"/>
        </w:rPr>
      </w:pPr>
      <w:r>
        <w:rPr>
          <w:rFonts w:ascii="Neo Sans Pro" w:hAnsi="Neo Sans Pro" w:cs="Arial"/>
          <w:sz w:val="20"/>
          <w:szCs w:val="20"/>
        </w:rPr>
        <w:t xml:space="preserve">Evidencia de Banners para publicitar campañas de descuentos para fomentar el pago de los </w:t>
      </w:r>
      <w:r w:rsidR="00FA749D" w:rsidRPr="00FE2459">
        <w:rPr>
          <w:rFonts w:ascii="Neo Sans Pro" w:hAnsi="Neo Sans Pro" w:cs="Arial"/>
          <w:sz w:val="20"/>
          <w:szCs w:val="20"/>
        </w:rPr>
        <w:t>7</w:t>
      </w:r>
      <w:r w:rsidR="00D27220" w:rsidRPr="00FE2459">
        <w:rPr>
          <w:rFonts w:ascii="Neo Sans Pro" w:hAnsi="Neo Sans Pro" w:cs="Arial"/>
          <w:sz w:val="20"/>
          <w:szCs w:val="20"/>
        </w:rPr>
        <w:t xml:space="preserve">. </w:t>
      </w:r>
    </w:p>
    <w:p w14:paraId="4809CE12" w14:textId="5247543C" w:rsidR="00D27220" w:rsidRPr="00FE2459" w:rsidRDefault="00D27220" w:rsidP="006E1170">
      <w:pPr>
        <w:pStyle w:val="Prrafodelista"/>
        <w:numPr>
          <w:ilvl w:val="0"/>
          <w:numId w:val="2"/>
        </w:numPr>
        <w:spacing w:after="160" w:line="360" w:lineRule="auto"/>
        <w:ind w:right="0"/>
        <w:jc w:val="both"/>
        <w:rPr>
          <w:rFonts w:ascii="Neo Sans Pro" w:hAnsi="Neo Sans Pro"/>
          <w:sz w:val="20"/>
          <w:szCs w:val="20"/>
        </w:rPr>
      </w:pPr>
      <w:r w:rsidRPr="00FE2459">
        <w:rPr>
          <w:rFonts w:ascii="Neo Sans Pro" w:hAnsi="Neo Sans Pro" w:cs="Arial"/>
          <w:sz w:val="20"/>
          <w:szCs w:val="20"/>
        </w:rPr>
        <w:t>Analítico de ingresos y balanza de comprobación del ejercicio 2024 de</w:t>
      </w:r>
      <w:r w:rsidR="00FA749D" w:rsidRPr="00FE2459">
        <w:rPr>
          <w:rFonts w:ascii="Neo Sans Pro" w:hAnsi="Neo Sans Pro" w:cs="Arial"/>
          <w:sz w:val="20"/>
          <w:szCs w:val="20"/>
        </w:rPr>
        <w:t>l</w:t>
      </w:r>
      <w:r w:rsidRPr="00FE2459">
        <w:rPr>
          <w:rFonts w:ascii="Neo Sans Pro" w:hAnsi="Neo Sans Pro" w:cs="Arial"/>
          <w:sz w:val="20"/>
          <w:szCs w:val="20"/>
        </w:rPr>
        <w:t xml:space="preserve"> </w:t>
      </w:r>
      <w:r w:rsidR="00FA749D" w:rsidRPr="00FE2459">
        <w:rPr>
          <w:rFonts w:ascii="Neo Sans Pro" w:hAnsi="Neo Sans Pro" w:cs="Arial"/>
          <w:sz w:val="20"/>
          <w:szCs w:val="20"/>
        </w:rPr>
        <w:t>H. Ayuntamiento de Úrsulo Galván</w:t>
      </w:r>
      <w:r w:rsidR="006E1170">
        <w:rPr>
          <w:rFonts w:ascii="Neo Sans Pro" w:hAnsi="Neo Sans Pro" w:cs="Arial"/>
          <w:sz w:val="20"/>
          <w:szCs w:val="20"/>
        </w:rPr>
        <w:t>, así como cuadro analítico explicativo de las diferencias, que corresponden al impuesto adicional del 10%.</w:t>
      </w:r>
    </w:p>
    <w:sectPr w:rsidR="00D27220" w:rsidRPr="00FE24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0120" w14:textId="77777777" w:rsidR="00C57B3D" w:rsidRDefault="00C57B3D" w:rsidP="00580787">
      <w:r>
        <w:separator/>
      </w:r>
    </w:p>
  </w:endnote>
  <w:endnote w:type="continuationSeparator" w:id="0">
    <w:p w14:paraId="40CD5387" w14:textId="77777777" w:rsidR="00C57B3D" w:rsidRDefault="00C57B3D" w:rsidP="005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o Sans Pro">
    <w:panose1 w:val="020B0504030504040204"/>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0331" w14:textId="77777777" w:rsidR="00C57B3D" w:rsidRDefault="00C57B3D" w:rsidP="00580787">
      <w:r>
        <w:separator/>
      </w:r>
    </w:p>
  </w:footnote>
  <w:footnote w:type="continuationSeparator" w:id="0">
    <w:p w14:paraId="629C10DF" w14:textId="77777777" w:rsidR="00C57B3D" w:rsidRDefault="00C57B3D" w:rsidP="0058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F18B" w14:textId="2CFA8CF7" w:rsidR="007A4A25" w:rsidRPr="00791CEF" w:rsidRDefault="002F7DF0" w:rsidP="00AD5523">
    <w:pPr>
      <w:pStyle w:val="Encabezado"/>
      <w:pBdr>
        <w:bottom w:val="single" w:sz="4" w:space="1" w:color="auto"/>
      </w:pBdr>
      <w:rPr>
        <w:rFonts w:ascii="Neo Sans Pro" w:hAnsi="Neo Sans Pro" w:cs="Arial"/>
        <w:noProof/>
        <w:sz w:val="28"/>
        <w:szCs w:val="28"/>
        <w:lang w:eastAsia="es-MX"/>
      </w:rPr>
    </w:pPr>
    <w:r w:rsidRPr="00791CEF">
      <w:rPr>
        <w:rFonts w:ascii="Neo Sans Pro" w:hAnsi="Neo Sans Pro" w:cs="Arial"/>
        <w:noProof/>
        <w:sz w:val="28"/>
        <w:szCs w:val="28"/>
        <w:lang w:eastAsia="es-MX"/>
      </w:rPr>
      <w:t>MUNICIPIO DE ÚURSULO GALVÁN, VER.</w:t>
    </w:r>
  </w:p>
  <w:p w14:paraId="4491DA88" w14:textId="77777777" w:rsidR="007A4A25" w:rsidRDefault="007A4A25" w:rsidP="00AD5523">
    <w:pPr>
      <w:pStyle w:val="Encabezado"/>
      <w:pBdr>
        <w:bottom w:val="single" w:sz="4" w:space="1" w:color="auto"/>
      </w:pBdr>
      <w:rPr>
        <w:rFonts w:ascii="Neo Sans Pro" w:hAnsi="Neo Sans Pro" w:cs="Arial"/>
        <w:noProof/>
        <w:sz w:val="24"/>
        <w:szCs w:val="24"/>
        <w:lang w:eastAsia="es-MX"/>
      </w:rPr>
    </w:pPr>
  </w:p>
  <w:p w14:paraId="60732EDF" w14:textId="5F4065E5" w:rsidR="00580787" w:rsidRPr="00791CEF" w:rsidRDefault="00580787" w:rsidP="00AD5523">
    <w:pPr>
      <w:pStyle w:val="Encabezado"/>
      <w:pBdr>
        <w:bottom w:val="single" w:sz="4" w:space="1" w:color="auto"/>
      </w:pBdr>
      <w:rPr>
        <w:rFonts w:ascii="Neo Sans Pro" w:hAnsi="Neo Sans Pro" w:cs="Arial"/>
        <w:noProof/>
        <w:sz w:val="20"/>
        <w:szCs w:val="20"/>
        <w:lang w:eastAsia="es-MX"/>
      </w:rPr>
    </w:pPr>
    <w:r w:rsidRPr="00791CEF">
      <w:rPr>
        <w:rFonts w:ascii="Neo Sans Pro" w:hAnsi="Neo Sans Pro" w:cs="Arial"/>
        <w:noProof/>
        <w:sz w:val="20"/>
        <w:szCs w:val="20"/>
        <w:lang w:eastAsia="es-MX"/>
      </w:rPr>
      <w:t>Cuestionario Derechos por Suministro de Agua. Ejercicio 2024</w:t>
    </w:r>
  </w:p>
  <w:p w14:paraId="3DDA0F28" w14:textId="77777777" w:rsidR="00580787" w:rsidRDefault="00580787" w:rsidP="00580787">
    <w:pPr>
      <w:pStyle w:val="Encabezado"/>
      <w:pBdr>
        <w:bottom w:val="single" w:sz="4" w:space="1" w:color="auto"/>
      </w:pBdr>
      <w:jc w:val="right"/>
      <w:rPr>
        <w:rFonts w:ascii="Arial" w:hAnsi="Arial" w:cs="Arial"/>
        <w:noProof/>
        <w:sz w:val="18"/>
        <w:lang w:eastAsia="es-MX"/>
      </w:rPr>
    </w:pPr>
  </w:p>
  <w:p w14:paraId="71844BD1" w14:textId="77777777" w:rsidR="00580787" w:rsidRDefault="005807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7052"/>
    <w:multiLevelType w:val="hybridMultilevel"/>
    <w:tmpl w:val="C1D23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A134BE"/>
    <w:multiLevelType w:val="hybridMultilevel"/>
    <w:tmpl w:val="41BC4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A93B6F"/>
    <w:multiLevelType w:val="hybridMultilevel"/>
    <w:tmpl w:val="ACDCF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2741AE"/>
    <w:multiLevelType w:val="hybridMultilevel"/>
    <w:tmpl w:val="C7CEC6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615137649">
    <w:abstractNumId w:val="0"/>
  </w:num>
  <w:num w:numId="2" w16cid:durableId="1819574104">
    <w:abstractNumId w:val="2"/>
  </w:num>
  <w:num w:numId="3" w16cid:durableId="352927214">
    <w:abstractNumId w:val="1"/>
  </w:num>
  <w:num w:numId="4" w16cid:durableId="121446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87"/>
    <w:rsid w:val="000050DF"/>
    <w:rsid w:val="000360EA"/>
    <w:rsid w:val="00062D69"/>
    <w:rsid w:val="000F7E00"/>
    <w:rsid w:val="001421F0"/>
    <w:rsid w:val="00147AD3"/>
    <w:rsid w:val="00156B17"/>
    <w:rsid w:val="001B36DE"/>
    <w:rsid w:val="00210137"/>
    <w:rsid w:val="00213E03"/>
    <w:rsid w:val="002E6788"/>
    <w:rsid w:val="002F7DF0"/>
    <w:rsid w:val="00367C8D"/>
    <w:rsid w:val="0037764D"/>
    <w:rsid w:val="003B4999"/>
    <w:rsid w:val="003B60BF"/>
    <w:rsid w:val="003D5E55"/>
    <w:rsid w:val="004659DF"/>
    <w:rsid w:val="00532419"/>
    <w:rsid w:val="0056193E"/>
    <w:rsid w:val="00580787"/>
    <w:rsid w:val="005F10CA"/>
    <w:rsid w:val="0066405E"/>
    <w:rsid w:val="00691754"/>
    <w:rsid w:val="006A5D17"/>
    <w:rsid w:val="006E1170"/>
    <w:rsid w:val="00791CEF"/>
    <w:rsid w:val="007A4A25"/>
    <w:rsid w:val="007B025D"/>
    <w:rsid w:val="008135D3"/>
    <w:rsid w:val="00821373"/>
    <w:rsid w:val="00853257"/>
    <w:rsid w:val="0089104A"/>
    <w:rsid w:val="008B661D"/>
    <w:rsid w:val="008E2601"/>
    <w:rsid w:val="00913AD8"/>
    <w:rsid w:val="00915DAC"/>
    <w:rsid w:val="00920702"/>
    <w:rsid w:val="00990D08"/>
    <w:rsid w:val="009D42D0"/>
    <w:rsid w:val="00A35CC6"/>
    <w:rsid w:val="00A66938"/>
    <w:rsid w:val="00AA5882"/>
    <w:rsid w:val="00AC57FD"/>
    <w:rsid w:val="00AD5523"/>
    <w:rsid w:val="00C57B3D"/>
    <w:rsid w:val="00C7249B"/>
    <w:rsid w:val="00CA25C8"/>
    <w:rsid w:val="00D174C6"/>
    <w:rsid w:val="00D27220"/>
    <w:rsid w:val="00D45C9A"/>
    <w:rsid w:val="00DB28E7"/>
    <w:rsid w:val="00E01995"/>
    <w:rsid w:val="00E11423"/>
    <w:rsid w:val="00E90FA6"/>
    <w:rsid w:val="00E91D5E"/>
    <w:rsid w:val="00F31F8B"/>
    <w:rsid w:val="00FA099A"/>
    <w:rsid w:val="00FA749D"/>
    <w:rsid w:val="00FE054A"/>
    <w:rsid w:val="00FE2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FC58"/>
  <w15:chartTrackingRefBased/>
  <w15:docId w15:val="{D4511880-6B8A-4825-9CBB-B5DE95E3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87"/>
    <w:pPr>
      <w:spacing w:after="0" w:line="240" w:lineRule="auto"/>
      <w:ind w:right="51"/>
      <w:jc w:val="center"/>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787"/>
    <w:pPr>
      <w:tabs>
        <w:tab w:val="center" w:pos="4419"/>
        <w:tab w:val="right" w:pos="8838"/>
      </w:tabs>
    </w:pPr>
  </w:style>
  <w:style w:type="character" w:customStyle="1" w:styleId="EncabezadoCar">
    <w:name w:val="Encabezado Car"/>
    <w:basedOn w:val="Fuentedeprrafopredeter"/>
    <w:link w:val="Encabezado"/>
    <w:uiPriority w:val="99"/>
    <w:rsid w:val="00580787"/>
  </w:style>
  <w:style w:type="paragraph" w:styleId="Piedepgina">
    <w:name w:val="footer"/>
    <w:basedOn w:val="Normal"/>
    <w:link w:val="PiedepginaCar"/>
    <w:uiPriority w:val="99"/>
    <w:unhideWhenUsed/>
    <w:rsid w:val="00580787"/>
    <w:pPr>
      <w:tabs>
        <w:tab w:val="center" w:pos="4419"/>
        <w:tab w:val="right" w:pos="8838"/>
      </w:tabs>
    </w:pPr>
  </w:style>
  <w:style w:type="character" w:customStyle="1" w:styleId="PiedepginaCar">
    <w:name w:val="Pie de página Car"/>
    <w:basedOn w:val="Fuentedeprrafopredeter"/>
    <w:link w:val="Piedepgina"/>
    <w:uiPriority w:val="99"/>
    <w:rsid w:val="00580787"/>
  </w:style>
  <w:style w:type="paragraph" w:styleId="Prrafodelista">
    <w:name w:val="List Paragraph"/>
    <w:basedOn w:val="Normal"/>
    <w:uiPriority w:val="34"/>
    <w:qFormat/>
    <w:rsid w:val="00580787"/>
    <w:pPr>
      <w:ind w:left="720"/>
      <w:contextualSpacing/>
    </w:pPr>
  </w:style>
  <w:style w:type="paragraph" w:styleId="Ttulo">
    <w:name w:val="Title"/>
    <w:basedOn w:val="Normal"/>
    <w:link w:val="TtuloCar"/>
    <w:qFormat/>
    <w:rsid w:val="00580787"/>
    <w:pPr>
      <w:ind w:right="0"/>
    </w:pPr>
    <w:rPr>
      <w:rFonts w:ascii="Times New Roman" w:eastAsia="Times New Roman" w:hAnsi="Times New Roman"/>
      <w:b/>
      <w:bCs/>
      <w:sz w:val="24"/>
      <w:szCs w:val="24"/>
      <w:lang w:eastAsia="es-ES"/>
    </w:rPr>
  </w:style>
  <w:style w:type="character" w:customStyle="1" w:styleId="TtuloCar">
    <w:name w:val="Título Car"/>
    <w:basedOn w:val="Fuentedeprrafopredeter"/>
    <w:link w:val="Ttulo"/>
    <w:rsid w:val="00580787"/>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580787"/>
    <w:pPr>
      <w:spacing w:before="100" w:beforeAutospacing="1" w:after="100" w:afterAutospacing="1"/>
      <w:ind w:right="0"/>
      <w:jc w:val="left"/>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9301">
      <w:bodyDiv w:val="1"/>
      <w:marLeft w:val="0"/>
      <w:marRight w:val="0"/>
      <w:marTop w:val="0"/>
      <w:marBottom w:val="0"/>
      <w:divBdr>
        <w:top w:val="none" w:sz="0" w:space="0" w:color="auto"/>
        <w:left w:val="none" w:sz="0" w:space="0" w:color="auto"/>
        <w:bottom w:val="none" w:sz="0" w:space="0" w:color="auto"/>
        <w:right w:val="none" w:sz="0" w:space="0" w:color="auto"/>
      </w:divBdr>
    </w:div>
    <w:div w:id="1546719078">
      <w:bodyDiv w:val="1"/>
      <w:marLeft w:val="0"/>
      <w:marRight w:val="0"/>
      <w:marTop w:val="0"/>
      <w:marBottom w:val="0"/>
      <w:divBdr>
        <w:top w:val="none" w:sz="0" w:space="0" w:color="auto"/>
        <w:left w:val="none" w:sz="0" w:space="0" w:color="auto"/>
        <w:bottom w:val="none" w:sz="0" w:space="0" w:color="auto"/>
        <w:right w:val="none" w:sz="0" w:space="0" w:color="auto"/>
      </w:divBdr>
    </w:div>
    <w:div w:id="1769886776">
      <w:bodyDiv w:val="1"/>
      <w:marLeft w:val="0"/>
      <w:marRight w:val="0"/>
      <w:marTop w:val="0"/>
      <w:marBottom w:val="0"/>
      <w:divBdr>
        <w:top w:val="none" w:sz="0" w:space="0" w:color="auto"/>
        <w:left w:val="none" w:sz="0" w:space="0" w:color="auto"/>
        <w:bottom w:val="none" w:sz="0" w:space="0" w:color="auto"/>
        <w:right w:val="none" w:sz="0" w:space="0" w:color="auto"/>
      </w:divBdr>
    </w:div>
    <w:div w:id="20440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6</Pages>
  <Words>1798</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Elizabeth Solorzano Ibañez</dc:creator>
  <cp:keywords/>
  <dc:description/>
  <cp:lastModifiedBy>Adrian Eladio Quintero</cp:lastModifiedBy>
  <cp:revision>27</cp:revision>
  <cp:lastPrinted>2025-03-28T01:32:00Z</cp:lastPrinted>
  <dcterms:created xsi:type="dcterms:W3CDTF">2025-03-28T00:25:00Z</dcterms:created>
  <dcterms:modified xsi:type="dcterms:W3CDTF">2025-04-09T04:06:00Z</dcterms:modified>
</cp:coreProperties>
</file>