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D47" w14:textId="77777777" w:rsidR="00580787" w:rsidRPr="00A031D2" w:rsidRDefault="00580787" w:rsidP="00580787">
      <w:pPr>
        <w:pStyle w:val="Ttulo"/>
        <w:outlineLvl w:val="0"/>
        <w:rPr>
          <w:rFonts w:ascii="Arial" w:hAnsi="Arial" w:cs="Arial"/>
          <w:sz w:val="32"/>
          <w:szCs w:val="32"/>
        </w:rPr>
      </w:pPr>
      <w:r w:rsidRPr="00A031D2">
        <w:rPr>
          <w:rFonts w:ascii="Arial" w:hAnsi="Arial" w:cs="Arial"/>
          <w:sz w:val="32"/>
          <w:szCs w:val="32"/>
        </w:rPr>
        <w:t xml:space="preserve">Contribución Local: Derechos por Suministro de Agua </w:t>
      </w:r>
    </w:p>
    <w:p w14:paraId="2E33C7B0" w14:textId="77777777" w:rsidR="00580787" w:rsidRPr="00A031D2" w:rsidRDefault="00580787" w:rsidP="00580787">
      <w:pPr>
        <w:pStyle w:val="Ttulo"/>
        <w:rPr>
          <w:rFonts w:ascii="Arial" w:hAnsi="Arial" w:cs="Arial"/>
          <w:sz w:val="32"/>
          <w:szCs w:val="32"/>
        </w:rPr>
      </w:pPr>
    </w:p>
    <w:p w14:paraId="13807BF0" w14:textId="77777777" w:rsidR="00580787" w:rsidRPr="00A031D2" w:rsidRDefault="00580787" w:rsidP="00580787">
      <w:pPr>
        <w:pStyle w:val="Ttulo"/>
        <w:outlineLvl w:val="0"/>
        <w:rPr>
          <w:rFonts w:ascii="Arial" w:hAnsi="Arial" w:cs="Arial"/>
          <w:sz w:val="32"/>
          <w:szCs w:val="32"/>
        </w:rPr>
      </w:pPr>
      <w:r w:rsidRPr="00A031D2">
        <w:rPr>
          <w:rFonts w:ascii="Arial" w:hAnsi="Arial" w:cs="Arial"/>
          <w:sz w:val="32"/>
          <w:szCs w:val="32"/>
        </w:rPr>
        <w:t>CUESTIONARIO EJERCICIO 20</w:t>
      </w:r>
      <w:r>
        <w:rPr>
          <w:rFonts w:ascii="Arial" w:hAnsi="Arial" w:cs="Arial"/>
          <w:sz w:val="32"/>
          <w:szCs w:val="32"/>
        </w:rPr>
        <w:t>24</w:t>
      </w:r>
    </w:p>
    <w:p w14:paraId="431F673A" w14:textId="77777777" w:rsidR="00580787" w:rsidRPr="00A031D2" w:rsidRDefault="00580787" w:rsidP="00580787">
      <w:pPr>
        <w:pStyle w:val="Ttulo"/>
        <w:rPr>
          <w:rFonts w:ascii="Arial" w:hAnsi="Arial" w:cs="Arial"/>
          <w:sz w:val="32"/>
          <w:szCs w:val="32"/>
        </w:rPr>
      </w:pPr>
    </w:p>
    <w:p w14:paraId="26C7E906" w14:textId="77777777" w:rsidR="00580787" w:rsidRPr="00A031D2" w:rsidRDefault="00580787" w:rsidP="00580787">
      <w:pPr>
        <w:rPr>
          <w:rFonts w:ascii="Arial" w:hAnsi="Arial" w:cs="Arial"/>
          <w:sz w:val="32"/>
          <w:szCs w:val="32"/>
        </w:rPr>
      </w:pPr>
    </w:p>
    <w:p w14:paraId="5E43538F" w14:textId="7D835C07" w:rsidR="00580787" w:rsidRPr="00775A1C" w:rsidRDefault="00580787" w:rsidP="00580787">
      <w:pPr>
        <w:tabs>
          <w:tab w:val="left" w:pos="283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2451" wp14:editId="6C3E1010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184150</wp:posOffset>
                </wp:positionV>
                <wp:extent cx="1714500" cy="0"/>
                <wp:effectExtent l="9525" t="12700" r="9525" b="63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0C2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14.5pt" to="43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S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"/>
            </w:pict>
          </mc:Fallback>
        </mc:AlternateContent>
      </w:r>
      <w:r w:rsidRPr="00A031D2">
        <w:rPr>
          <w:rFonts w:ascii="Arial" w:hAnsi="Arial" w:cs="Arial"/>
          <w:b/>
          <w:sz w:val="32"/>
          <w:szCs w:val="32"/>
        </w:rPr>
        <w:t xml:space="preserve">                  </w:t>
      </w:r>
      <w:r>
        <w:rPr>
          <w:rFonts w:ascii="Arial" w:hAnsi="Arial" w:cs="Arial"/>
          <w:b/>
          <w:sz w:val="32"/>
          <w:szCs w:val="32"/>
        </w:rPr>
        <w:tab/>
        <w:t xml:space="preserve">Entidad Federativa:    </w:t>
      </w:r>
      <w:r w:rsidR="00103E22">
        <w:rPr>
          <w:rFonts w:ascii="Arial" w:hAnsi="Arial" w:cs="Arial"/>
          <w:b/>
          <w:sz w:val="32"/>
          <w:szCs w:val="32"/>
        </w:rPr>
        <w:t>VERACRUZ</w:t>
      </w:r>
    </w:p>
    <w:p w14:paraId="57E9809F" w14:textId="77777777" w:rsidR="00580787" w:rsidRPr="00A031D2" w:rsidRDefault="00580787" w:rsidP="00580787">
      <w:pPr>
        <w:jc w:val="both"/>
        <w:rPr>
          <w:rFonts w:ascii="Arial" w:hAnsi="Arial" w:cs="Arial"/>
          <w:sz w:val="32"/>
          <w:szCs w:val="32"/>
        </w:rPr>
      </w:pPr>
    </w:p>
    <w:p w14:paraId="33F82E47" w14:textId="77777777" w:rsidR="00580787" w:rsidRPr="00925D03" w:rsidRDefault="00580787" w:rsidP="00580787">
      <w:pPr>
        <w:jc w:val="both"/>
        <w:rPr>
          <w:rFonts w:ascii="Arial" w:hAnsi="Arial" w:cs="Arial"/>
        </w:rPr>
      </w:pPr>
    </w:p>
    <w:p w14:paraId="53141D74" w14:textId="1DE806DD" w:rsidR="0058078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1. Señale los elementos constitutivos vigentes del año que se informa </w:t>
      </w:r>
      <w:r>
        <w:rPr>
          <w:rFonts w:ascii="Arial" w:hAnsi="Arial" w:cs="Arial"/>
        </w:rPr>
        <w:t>de los Derechos por el S</w:t>
      </w:r>
      <w:r w:rsidRPr="00256AB7">
        <w:rPr>
          <w:rFonts w:ascii="Arial" w:hAnsi="Arial" w:cs="Arial"/>
        </w:rPr>
        <w:t xml:space="preserve">uministro de </w:t>
      </w:r>
      <w:r>
        <w:rPr>
          <w:rFonts w:ascii="Arial" w:hAnsi="Arial" w:cs="Arial"/>
        </w:rPr>
        <w:t>A</w:t>
      </w:r>
      <w:r w:rsidRPr="00256AB7">
        <w:rPr>
          <w:rFonts w:ascii="Arial" w:hAnsi="Arial" w:cs="Arial"/>
        </w:rPr>
        <w:t>gua, indicando el ordenamiento legal y el número de artículo en el que se establece. (Es necesario que se anexen los ordenamientos legales donde se precisan, en caso de ser diferentes entre los municipios, agrúpelos por similitud y señale las diferencias entre ellos).</w:t>
      </w:r>
    </w:p>
    <w:p w14:paraId="695BFF02" w14:textId="77777777" w:rsidR="00103E22" w:rsidRPr="00256AB7" w:rsidRDefault="00103E22" w:rsidP="00580787">
      <w:pPr>
        <w:jc w:val="both"/>
        <w:rPr>
          <w:rFonts w:ascii="Arial" w:hAnsi="Arial" w:cs="Arial"/>
        </w:rPr>
      </w:pPr>
    </w:p>
    <w:p w14:paraId="04D8DC2C" w14:textId="77777777" w:rsidR="00103E22" w:rsidRPr="008742F0" w:rsidRDefault="00103E22" w:rsidP="00103E2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742F0">
        <w:rPr>
          <w:rFonts w:ascii="Arial" w:hAnsi="Arial" w:cs="Arial"/>
        </w:rPr>
        <w:t xml:space="preserve">Ley de Aguas del Estado de Veracruz de Ignacio de la Llave (Ley No. 21). Artículo 2 Fracción V, Art. 15 Fracción XVI, Art. 30, 33 Fracción VII, 38 Fracción III, Art. 99, Artículo 101, Artículo 103. </w:t>
      </w:r>
    </w:p>
    <w:p w14:paraId="0E8328DA" w14:textId="77777777" w:rsidR="00103E22" w:rsidRPr="008742F0" w:rsidRDefault="00103E22" w:rsidP="00103E2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742F0">
        <w:rPr>
          <w:rFonts w:ascii="Arial" w:hAnsi="Arial" w:cs="Arial"/>
        </w:rPr>
        <w:t>Reglamento Interior de la Comisión Municipal de Agua y Saneamiento de Coatepec, Ver. Artículo 7 Fracción XIX, Art. 16 Fracción XVI.</w:t>
      </w:r>
    </w:p>
    <w:p w14:paraId="45BAC5CE" w14:textId="26740369" w:rsidR="00580787" w:rsidRPr="00B94255" w:rsidRDefault="00103E22" w:rsidP="0058078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94255">
        <w:rPr>
          <w:rFonts w:ascii="Arial" w:hAnsi="Arial" w:cs="Arial"/>
        </w:rPr>
        <w:t>Esquema Tarifario para el cobro de Derechos de Servicio de Agua y Alcantarillado 202</w:t>
      </w:r>
      <w:r w:rsidR="00B94255" w:rsidRPr="00B94255">
        <w:rPr>
          <w:rFonts w:ascii="Arial" w:hAnsi="Arial" w:cs="Arial"/>
        </w:rPr>
        <w:t>4</w:t>
      </w:r>
      <w:r w:rsidRPr="00B94255">
        <w:rPr>
          <w:rFonts w:ascii="Arial" w:hAnsi="Arial" w:cs="Arial"/>
        </w:rPr>
        <w:t xml:space="preserve"> (Gaceta Oficial del Estado de Veracruz de Ignacio de la Llave publicada el </w:t>
      </w:r>
      <w:r w:rsidR="00B94255" w:rsidRPr="00B94255">
        <w:rPr>
          <w:rFonts w:ascii="Arial" w:hAnsi="Arial" w:cs="Arial"/>
        </w:rPr>
        <w:t>8</w:t>
      </w:r>
      <w:r w:rsidRPr="00B94255">
        <w:rPr>
          <w:rFonts w:ascii="Arial" w:hAnsi="Arial" w:cs="Arial"/>
        </w:rPr>
        <w:t xml:space="preserve"> de diciembre de 202</w:t>
      </w:r>
      <w:r w:rsidR="00B94255" w:rsidRPr="00B94255">
        <w:rPr>
          <w:rFonts w:ascii="Arial" w:hAnsi="Arial" w:cs="Arial"/>
        </w:rPr>
        <w:t>3</w:t>
      </w:r>
      <w:r w:rsidRPr="00B94255">
        <w:rPr>
          <w:rFonts w:ascii="Arial" w:hAnsi="Arial" w:cs="Arial"/>
        </w:rPr>
        <w:t>)</w:t>
      </w:r>
    </w:p>
    <w:p w14:paraId="2943416F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143211C0" w14:textId="77777777" w:rsidR="0058078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2. La determinación del consumo de agua se realiza mediante: </w:t>
      </w:r>
    </w:p>
    <w:p w14:paraId="5FDF9EBB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20D95DAD" w14:textId="77777777" w:rsidR="00580787" w:rsidRPr="00256AB7" w:rsidDel="009A1D38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                      </w:t>
      </w:r>
      <w:bookmarkStart w:id="0" w:name="_MON_1422439410"/>
      <w:bookmarkEnd w:id="0"/>
    </w:p>
    <w:tbl>
      <w:tblPr>
        <w:tblW w:w="4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1246"/>
        <w:gridCol w:w="1446"/>
      </w:tblGrid>
      <w:tr w:rsidR="00580787" w:rsidRPr="005C4F0C" w14:paraId="4AF54E0E" w14:textId="77777777" w:rsidTr="004740DC">
        <w:trPr>
          <w:trHeight w:val="413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EB8559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677674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Tomas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383927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Recaudación</w:t>
            </w:r>
          </w:p>
        </w:tc>
      </w:tr>
      <w:tr w:rsidR="00580787" w:rsidRPr="005C4F0C" w14:paraId="01270F76" w14:textId="77777777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477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Número total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9DA" w14:textId="44568465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22,589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B1E" w14:textId="457B7B66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  <w:tr w:rsidR="00580787" w:rsidRPr="005C4F0C" w14:paraId="7FDD1E37" w14:textId="77777777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203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Aparato medidor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402" w14:textId="27143F75" w:rsidR="00B94255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14,769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5AA3" w14:textId="71522D2E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65.4</w:t>
            </w:r>
            <w:r w:rsidR="00387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580787" w:rsidRPr="005C4F0C" w14:paraId="18DE5FEF" w14:textId="77777777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F9C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Cuota Fija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98CA" w14:textId="636483A5" w:rsidR="00B94255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7,820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D30" w14:textId="15599E98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34.6</w:t>
            </w:r>
            <w:r w:rsidR="00387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580787" w:rsidRPr="005C4F0C" w14:paraId="3C2BF243" w14:textId="77777777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0F8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Otra(Especifique)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B5F6" w14:textId="2D39D411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D3A" w14:textId="1E896C1D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CF9C628" w14:textId="77777777" w:rsidR="00580787" w:rsidRDefault="00580787" w:rsidP="00580787">
      <w:pPr>
        <w:jc w:val="both"/>
        <w:rPr>
          <w:rFonts w:ascii="Arial" w:hAnsi="Arial" w:cs="Arial"/>
        </w:rPr>
      </w:pPr>
    </w:p>
    <w:p w14:paraId="1533FA39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061322C5" w14:textId="77777777" w:rsidR="00580787" w:rsidRPr="00256AB7" w:rsidRDefault="00580787" w:rsidP="00580787">
      <w:pPr>
        <w:jc w:val="both"/>
        <w:rPr>
          <w:rFonts w:ascii="Arial" w:hAnsi="Arial" w:cs="Arial"/>
          <w:color w:val="000000"/>
        </w:rPr>
      </w:pPr>
      <w:r w:rsidRPr="00256AB7">
        <w:rPr>
          <w:rFonts w:ascii="Arial" w:hAnsi="Arial" w:cs="Arial"/>
          <w:color w:val="000000"/>
        </w:rPr>
        <w:t>3. En caso de que exista un costo diferencial en función de la cantidad de metros cúbicos consumidos, especifique éstos y señale la recaudación que se obtiene por cada uno de ellos.</w:t>
      </w:r>
    </w:p>
    <w:p w14:paraId="27298CAD" w14:textId="77777777" w:rsidR="00580787" w:rsidRDefault="00580787" w:rsidP="00580787">
      <w:pPr>
        <w:jc w:val="both"/>
        <w:rPr>
          <w:rFonts w:ascii="Arial" w:hAnsi="Arial" w:cs="Arial"/>
        </w:rPr>
      </w:pPr>
    </w:p>
    <w:p w14:paraId="000689AA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3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360"/>
        <w:gridCol w:w="1300"/>
      </w:tblGrid>
      <w:tr w:rsidR="00580787" w:rsidRPr="005C4F0C" w14:paraId="5B66D38D" w14:textId="77777777" w:rsidTr="004740DC">
        <w:trPr>
          <w:trHeight w:val="73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DBF6CF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981195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Consumo metros cúbicos (ejem.)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E752F9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580787" w:rsidRPr="005C4F0C" w14:paraId="2A9CB07F" w14:textId="77777777" w:rsidTr="004740D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B1CD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654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0-50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7879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14:paraId="53C24292" w14:textId="77777777" w:rsidTr="004740D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940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02C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50.1-100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7C3E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14:paraId="601FA44A" w14:textId="77777777" w:rsidTr="004740D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B207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254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100.1-x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F6B1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14:paraId="277CC7C9" w14:textId="77777777" w:rsidTr="004740D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95E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6DD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x-y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FC58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790941C2" w14:textId="54B3631D" w:rsidR="00580787" w:rsidRDefault="00580787" w:rsidP="00580787">
      <w:pPr>
        <w:jc w:val="both"/>
        <w:rPr>
          <w:rFonts w:ascii="Arial" w:hAnsi="Arial" w:cs="Arial"/>
        </w:rPr>
      </w:pPr>
    </w:p>
    <w:p w14:paraId="00EE2495" w14:textId="2E768E9B" w:rsidR="00103E22" w:rsidRPr="00256AB7" w:rsidRDefault="00103E22" w:rsidP="0058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Aplica, porque no existe costo diferencial en función de la cantidad de metros cúbicos</w:t>
      </w:r>
    </w:p>
    <w:p w14:paraId="732CA436" w14:textId="77777777" w:rsidR="00580787" w:rsidRDefault="00580787" w:rsidP="00580787">
      <w:pPr>
        <w:jc w:val="both"/>
        <w:rPr>
          <w:rFonts w:ascii="Arial" w:hAnsi="Arial" w:cs="Arial"/>
        </w:rPr>
      </w:pPr>
    </w:p>
    <w:p w14:paraId="12A4ABD3" w14:textId="77777777"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4. De existir diferencia en el cobro entre el servicio de uso doméstico y el no doméstico, indique en qué consiste.</w:t>
      </w:r>
    </w:p>
    <w:p w14:paraId="52606909" w14:textId="641554AA" w:rsidR="00580787" w:rsidRDefault="00580787" w:rsidP="00580787">
      <w:pPr>
        <w:jc w:val="both"/>
        <w:rPr>
          <w:rFonts w:ascii="Arial" w:hAnsi="Arial" w:cs="Arial"/>
        </w:rPr>
      </w:pPr>
    </w:p>
    <w:p w14:paraId="215DF1F9" w14:textId="067F99BB" w:rsidR="00103E22" w:rsidRDefault="00103E22" w:rsidP="0058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aplica, porque no existen diferencias en el cobro.</w:t>
      </w:r>
    </w:p>
    <w:p w14:paraId="57AA5EA0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7A9B9724" w14:textId="744F7F98" w:rsidR="00103E22" w:rsidRDefault="00580787" w:rsidP="00103E22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Indique si en las cuotas por s</w:t>
      </w:r>
      <w:r w:rsidRPr="00256AB7">
        <w:rPr>
          <w:rFonts w:ascii="Arial" w:hAnsi="Arial" w:cs="Arial"/>
        </w:rPr>
        <w:t>ervicio de suministro de agua se encuentran incluidos otros servicios y especifique cuáles son.</w:t>
      </w:r>
    </w:p>
    <w:p w14:paraId="28DEE374" w14:textId="09C8AF16" w:rsidR="00103E22" w:rsidRDefault="00103E22" w:rsidP="00103E22">
      <w:pPr>
        <w:jc w:val="both"/>
        <w:rPr>
          <w:rFonts w:ascii="Arial" w:hAnsi="Arial" w:cs="Arial"/>
        </w:rPr>
      </w:pPr>
    </w:p>
    <w:p w14:paraId="0E94085E" w14:textId="77777777" w:rsidR="00103E22" w:rsidRDefault="00103E22" w:rsidP="00103E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</w:p>
    <w:p w14:paraId="737703ED" w14:textId="77777777" w:rsidR="00103E22" w:rsidRPr="00256AB7" w:rsidRDefault="00103E22" w:rsidP="00103E22">
      <w:pPr>
        <w:jc w:val="both"/>
        <w:rPr>
          <w:rFonts w:ascii="Arial" w:hAnsi="Arial" w:cs="Arial"/>
        </w:rPr>
      </w:pPr>
    </w:p>
    <w:p w14:paraId="2F5A15CA" w14:textId="37DE89B1" w:rsidR="00580787" w:rsidRPr="00256AB7" w:rsidRDefault="00580787" w:rsidP="00580787">
      <w:pPr>
        <w:jc w:val="both"/>
        <w:rPr>
          <w:rFonts w:ascii="Arial" w:hAnsi="Arial" w:cs="Arial"/>
          <w:u w:val="single"/>
        </w:rPr>
      </w:pPr>
      <w:r w:rsidRPr="00256AB7">
        <w:rPr>
          <w:rFonts w:ascii="Arial" w:hAnsi="Arial" w:cs="Arial"/>
        </w:rPr>
        <w:t xml:space="preserve">6. ¿El pago del suministro de agua se toma como referencia para el cobro de otros conceptos?     Sí  </w:t>
      </w:r>
      <w:r w:rsidRPr="00256AB7">
        <w:rPr>
          <w:rFonts w:ascii="Arial" w:hAnsi="Arial" w:cs="Arial"/>
          <w:u w:val="single"/>
        </w:rPr>
        <w:t xml:space="preserve">  </w:t>
      </w:r>
      <w:r w:rsidR="00103E22">
        <w:rPr>
          <w:rFonts w:ascii="Arial" w:hAnsi="Arial" w:cs="Arial"/>
          <w:u w:val="single"/>
        </w:rPr>
        <w:t>X</w:t>
      </w:r>
      <w:r w:rsidRPr="00256AB7">
        <w:rPr>
          <w:rFonts w:ascii="Arial" w:hAnsi="Arial" w:cs="Arial"/>
          <w:u w:val="single"/>
        </w:rPr>
        <w:t xml:space="preserve">  </w:t>
      </w:r>
      <w:r w:rsidRPr="00256AB7">
        <w:rPr>
          <w:rFonts w:ascii="Arial" w:hAnsi="Arial" w:cs="Arial"/>
        </w:rPr>
        <w:t xml:space="preserve">   </w:t>
      </w:r>
      <w:proofErr w:type="gramStart"/>
      <w:r w:rsidRPr="00256AB7">
        <w:rPr>
          <w:rFonts w:ascii="Arial" w:hAnsi="Arial" w:cs="Arial"/>
        </w:rPr>
        <w:t>No  _</w:t>
      </w:r>
      <w:proofErr w:type="gramEnd"/>
      <w:r w:rsidRPr="00256AB7">
        <w:rPr>
          <w:rFonts w:ascii="Arial" w:hAnsi="Arial" w:cs="Arial"/>
        </w:rPr>
        <w:t>__</w:t>
      </w:r>
      <w:r w:rsidRPr="00256AB7">
        <w:rPr>
          <w:rFonts w:ascii="Arial" w:hAnsi="Arial" w:cs="Arial"/>
          <w:color w:val="FFFFFF"/>
          <w:u w:val="single"/>
        </w:rPr>
        <w:t xml:space="preserve"> x</w:t>
      </w:r>
      <w:r w:rsidRPr="00256AB7">
        <w:rPr>
          <w:rFonts w:ascii="Arial" w:hAnsi="Arial" w:cs="Arial"/>
        </w:rPr>
        <w:t xml:space="preserve"> </w:t>
      </w:r>
      <w:r w:rsidRPr="00256AB7">
        <w:rPr>
          <w:rFonts w:ascii="Arial" w:hAnsi="Arial" w:cs="Arial"/>
          <w:u w:val="single"/>
        </w:rPr>
        <w:t xml:space="preserve">  </w:t>
      </w:r>
    </w:p>
    <w:p w14:paraId="2E02B2A9" w14:textId="77777777" w:rsidR="00580787" w:rsidRDefault="00580787" w:rsidP="00580787">
      <w:pPr>
        <w:jc w:val="both"/>
        <w:rPr>
          <w:rFonts w:ascii="Arial" w:hAnsi="Arial" w:cs="Arial"/>
        </w:rPr>
      </w:pPr>
    </w:p>
    <w:p w14:paraId="388CD3CA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0DA5B06C" w14:textId="77777777"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Si su respuesta es Sí, señale lo siguiente:</w:t>
      </w:r>
    </w:p>
    <w:p w14:paraId="286DD004" w14:textId="77777777" w:rsidR="00580787" w:rsidRDefault="00580787" w:rsidP="00580787">
      <w:pPr>
        <w:rPr>
          <w:rFonts w:ascii="Arial" w:hAnsi="Arial" w:cs="Arial"/>
        </w:rPr>
      </w:pPr>
    </w:p>
    <w:p w14:paraId="17D1E673" w14:textId="77777777" w:rsidR="00580787" w:rsidRPr="00256AB7" w:rsidRDefault="00580787" w:rsidP="00580787">
      <w:pPr>
        <w:rPr>
          <w:rFonts w:ascii="Arial" w:hAnsi="Arial" w:cs="Arial"/>
        </w:rPr>
      </w:pPr>
    </w:p>
    <w:tbl>
      <w:tblPr>
        <w:tblW w:w="62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530"/>
        <w:gridCol w:w="1168"/>
        <w:gridCol w:w="856"/>
        <w:gridCol w:w="1261"/>
        <w:gridCol w:w="1431"/>
      </w:tblGrid>
      <w:tr w:rsidR="00580787" w:rsidRPr="005C4F0C" w14:paraId="01C44F1C" w14:textId="77777777" w:rsidTr="004740DC">
        <w:trPr>
          <w:trHeight w:val="552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8277B5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3741DB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E64600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1846DE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637676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Observaciones</w:t>
            </w:r>
          </w:p>
        </w:tc>
      </w:tr>
      <w:tr w:rsidR="00580787" w:rsidRPr="005C4F0C" w14:paraId="08D6F4C3" w14:textId="77777777" w:rsidTr="004740DC">
        <w:trPr>
          <w:trHeight w:val="234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8829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866F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890C44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A87289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9F7A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D85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80787" w:rsidRPr="005C4F0C" w14:paraId="4DAAEBD5" w14:textId="77777777" w:rsidTr="004740DC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E38" w14:textId="075C3F28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COATEPEC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8B8" w14:textId="4D2EA932" w:rsidR="00580787" w:rsidRPr="005C4F0C" w:rsidRDefault="00103E2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DRENAJE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489" w14:textId="31CE395B" w:rsidR="00580787" w:rsidRPr="005C4F0C" w:rsidRDefault="00103E2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D7B" w14:textId="77777777" w:rsidR="00580787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30%</w:t>
            </w:r>
          </w:p>
          <w:p w14:paraId="08B18F82" w14:textId="27A8CF11" w:rsidR="00B94255" w:rsidRPr="005C4F0C" w:rsidRDefault="00B94255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97F" w14:textId="0B52065C" w:rsidR="00580787" w:rsidRPr="005C4F0C" w:rsidRDefault="004A4B64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9,143,455.78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A9D" w14:textId="115195CD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hAnsi="Arial" w:cs="Arial"/>
                <w:sz w:val="18"/>
                <w:szCs w:val="18"/>
              </w:rPr>
              <w:t>De consumo de servicio de agua (a tiempo y rezago)</w:t>
            </w:r>
          </w:p>
        </w:tc>
      </w:tr>
      <w:tr w:rsidR="00580787" w:rsidRPr="005C4F0C" w14:paraId="3A27BB03" w14:textId="77777777" w:rsidTr="004740DC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1934" w14:textId="27D4FCCB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COATEPEC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D07" w14:textId="3A9601D3" w:rsidR="00580787" w:rsidRPr="005C4F0C" w:rsidRDefault="00103E2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TRATAMIENTO DE AGUAS RECIDUALES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6EA" w14:textId="2B5E1756" w:rsidR="00580787" w:rsidRPr="005C4F0C" w:rsidRDefault="00103E2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220" w14:textId="2EB6A7D1" w:rsidR="00B94255" w:rsidRDefault="00B94255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$1.14</w:t>
            </w:r>
          </w:p>
          <w:p w14:paraId="2D8DA2E4" w14:textId="07AEB803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D2D" w14:textId="2F3E11B4" w:rsidR="00580787" w:rsidRPr="005C4F0C" w:rsidRDefault="004A4B64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4,670,030.85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19B" w14:textId="420A9FB1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hAnsi="Arial" w:cs="Arial"/>
                <w:sz w:val="18"/>
                <w:szCs w:val="18"/>
              </w:rPr>
              <w:t>Por metro cubico consumido (a tiempo y rezago)</w:t>
            </w:r>
          </w:p>
        </w:tc>
      </w:tr>
      <w:tr w:rsidR="00580787" w:rsidRPr="005C4F0C" w14:paraId="35126172" w14:textId="77777777" w:rsidTr="004740DC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24E" w14:textId="05829A14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03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75C" w14:textId="6AB32876" w:rsidR="00580787" w:rsidRPr="005C4F0C" w:rsidRDefault="00103E2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CONTRIBUCION ADICIONAL SOBRE DERECHOS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A22" w14:textId="1F5B6E96" w:rsidR="00580787" w:rsidRPr="005C4F0C" w:rsidRDefault="00103E2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31E7" w14:textId="62C9D2D2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5F5" w14:textId="7DD26455" w:rsidR="004A4B64" w:rsidRPr="005C4F0C" w:rsidRDefault="004A4B64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5,882,459.26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614" w14:textId="77992143" w:rsidR="00580787" w:rsidRPr="005C4F0C" w:rsidRDefault="00103E2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De consumo de servicio de agua, drenaje y Tratamiento de Agua (a tiempo y rezago)</w:t>
            </w:r>
          </w:p>
        </w:tc>
      </w:tr>
    </w:tbl>
    <w:p w14:paraId="1D3126A3" w14:textId="77777777" w:rsidR="00580787" w:rsidRDefault="00580787" w:rsidP="00580787">
      <w:pPr>
        <w:jc w:val="both"/>
        <w:rPr>
          <w:rFonts w:ascii="Arial" w:hAnsi="Arial" w:cs="Arial"/>
        </w:rPr>
      </w:pPr>
      <w:bookmarkStart w:id="1" w:name="_MON_1422439971"/>
      <w:bookmarkEnd w:id="1"/>
    </w:p>
    <w:p w14:paraId="01A3F4FD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09FA431D" w14:textId="77777777"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7. Enuncie los organismos que operan en el Estado y que proporcionan el servicio, su forma de organización jurídica, las obligaciones y derechos con respecto a la concesión otorgada e indique los municipios en que opera cada uno de ellos y la recaudación por organismo.</w:t>
      </w:r>
    </w:p>
    <w:p w14:paraId="60ED61A9" w14:textId="77777777" w:rsidR="00580787" w:rsidRDefault="00580787" w:rsidP="00580787">
      <w:pPr>
        <w:jc w:val="both"/>
        <w:rPr>
          <w:rFonts w:ascii="Arial" w:hAnsi="Arial" w:cs="Arial"/>
        </w:rPr>
      </w:pPr>
    </w:p>
    <w:p w14:paraId="0DC88998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91"/>
        <w:gridCol w:w="1281"/>
        <w:gridCol w:w="1271"/>
        <w:gridCol w:w="1261"/>
      </w:tblGrid>
      <w:tr w:rsidR="00580787" w:rsidRPr="005C4F0C" w14:paraId="6D1E0729" w14:textId="77777777" w:rsidTr="004740DC">
        <w:trPr>
          <w:trHeight w:val="4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534B4F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2" w:name="_MON_1422440011"/>
            <w:bookmarkEnd w:id="2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7CED4A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Organismo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A816AE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Forma de Organización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7B1982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Obligaciones y Derechos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8E534A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580787" w:rsidRPr="005C4F0C" w14:paraId="4BDD9E8C" w14:textId="77777777" w:rsidTr="004740D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276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85D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D45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914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528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14:paraId="1E6D9B3B" w14:textId="77777777" w:rsidTr="004740D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17C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69C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9DE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028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573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14:paraId="22F8E667" w14:textId="77777777" w:rsidTr="004740D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0BA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58D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DF0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77A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D63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41ABC56D" w14:textId="77777777" w:rsidR="00580787" w:rsidRDefault="00580787" w:rsidP="00580787">
      <w:pPr>
        <w:jc w:val="both"/>
        <w:rPr>
          <w:rFonts w:ascii="Arial" w:hAnsi="Arial" w:cs="Arial"/>
        </w:rPr>
      </w:pPr>
    </w:p>
    <w:p w14:paraId="75C1AF6D" w14:textId="7F51B5B8" w:rsidR="00580787" w:rsidRPr="00256AB7" w:rsidRDefault="00103E22" w:rsidP="0058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</w:p>
    <w:p w14:paraId="2273D7B8" w14:textId="77777777"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lastRenderedPageBreak/>
        <w:t>8. Si las tasas o tarifas y el costo del metro cúbico vigente en su ordenamiento jurídico, han sufrido algún cambio respecto del año anterior; señálelos en el cuadro siguiente y anexe copia de la publicación oficial.</w:t>
      </w:r>
    </w:p>
    <w:p w14:paraId="51276FB4" w14:textId="77777777" w:rsidR="00580787" w:rsidRDefault="00580787" w:rsidP="00580787">
      <w:pPr>
        <w:jc w:val="both"/>
        <w:rPr>
          <w:rFonts w:ascii="Arial" w:hAnsi="Arial" w:cs="Arial"/>
        </w:rPr>
      </w:pPr>
    </w:p>
    <w:tbl>
      <w:tblPr>
        <w:tblW w:w="8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808"/>
        <w:gridCol w:w="811"/>
        <w:gridCol w:w="911"/>
        <w:gridCol w:w="862"/>
        <w:gridCol w:w="801"/>
        <w:gridCol w:w="854"/>
        <w:gridCol w:w="928"/>
        <w:gridCol w:w="1073"/>
      </w:tblGrid>
      <w:tr w:rsidR="00103E22" w:rsidRPr="005C4F0C" w14:paraId="7BA255EB" w14:textId="77777777" w:rsidTr="00F816BB">
        <w:trPr>
          <w:trHeight w:val="262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5239E7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8456B9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*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0FF97CD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86F6DD7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 metro cúbico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D586D4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</w:tr>
      <w:tr w:rsidR="00103E22" w:rsidRPr="005C4F0C" w14:paraId="733DD83F" w14:textId="77777777" w:rsidTr="00F816BB">
        <w:trPr>
          <w:trHeight w:val="419"/>
          <w:jc w:val="center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0F96" w14:textId="77777777" w:rsidR="00103E22" w:rsidRPr="005C4F0C" w:rsidRDefault="00103E22" w:rsidP="00F816BB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ADA0AA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F99C49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ED602D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8F9F61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E1F7A0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E56F1E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E4C25E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015C46" w14:textId="77777777" w:rsidR="00103E22" w:rsidRPr="005C4F0C" w:rsidRDefault="00103E22" w:rsidP="00F816BB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</w:tr>
      <w:tr w:rsidR="00103E22" w:rsidRPr="005C4F0C" w14:paraId="7E39C0E8" w14:textId="77777777" w:rsidTr="00103E22">
        <w:trPr>
          <w:trHeight w:val="262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B9B" w14:textId="77777777" w:rsidR="00103E22" w:rsidRPr="00F816BB" w:rsidRDefault="00103E22" w:rsidP="00103E22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Popular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8062" w14:textId="3BF9B392" w:rsidR="00B94255" w:rsidRPr="00F816BB" w:rsidRDefault="00B94255" w:rsidP="00B94255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72.78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F67D" w14:textId="7F669AF1" w:rsidR="00103E22" w:rsidRPr="00F816BB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69.31 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671" w14:textId="27AF75DE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3.47</w:t>
            </w:r>
            <w:r w:rsidR="00103E22"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BD42" w14:textId="28137C41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6F81" w14:textId="7C888118" w:rsidR="00B94255" w:rsidRPr="00F816BB" w:rsidRDefault="00B94255" w:rsidP="00B94255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A298" w14:textId="1BA70772" w:rsidR="00103E22" w:rsidRPr="00F816BB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8F71" w14:textId="21AB0B29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0.25</w:t>
            </w:r>
            <w:r w:rsidR="00103E22"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9CF1" w14:textId="490C78F0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4.92%</w:t>
            </w:r>
          </w:p>
        </w:tc>
      </w:tr>
      <w:tr w:rsidR="00103E22" w:rsidRPr="005C4F0C" w14:paraId="5D88D789" w14:textId="77777777" w:rsidTr="00F816BB">
        <w:trPr>
          <w:trHeight w:val="262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9220" w14:textId="77777777" w:rsidR="00103E22" w:rsidRPr="00F816BB" w:rsidRDefault="00103E22" w:rsidP="00103E22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 Social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8342" w14:textId="1C87156E" w:rsidR="00B94255" w:rsidRPr="00F816BB" w:rsidRDefault="00B94255" w:rsidP="00B94255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106.53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4635" w14:textId="1E530F15" w:rsidR="00103E22" w:rsidRPr="00F816BB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101.46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20D2" w14:textId="3E6233B9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94A" w14:textId="25B6FCF1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1426" w14:textId="55A183F5" w:rsidR="00103E22" w:rsidRPr="00F816BB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E5F" w14:textId="71D55250" w:rsidR="00103E22" w:rsidRPr="00F816BB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7809" w14:textId="41AA2120" w:rsidR="002317F8" w:rsidRPr="00F816BB" w:rsidRDefault="002317F8" w:rsidP="002317F8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BF1F" w14:textId="04BC83E9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5.15%</w:t>
            </w:r>
          </w:p>
        </w:tc>
      </w:tr>
      <w:tr w:rsidR="00103E22" w:rsidRPr="005C4F0C" w14:paraId="54D51986" w14:textId="77777777" w:rsidTr="00F816BB">
        <w:trPr>
          <w:trHeight w:val="262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835A" w14:textId="77777777" w:rsidR="00103E22" w:rsidRPr="00F816BB" w:rsidRDefault="00103E22" w:rsidP="00103E22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 Medio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F2B4" w14:textId="56AA606D" w:rsidR="00103E22" w:rsidRPr="00F816BB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157.36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C984" w14:textId="73765219" w:rsidR="00103E22" w:rsidRPr="00F816BB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149.87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BCE6" w14:textId="03F054A8" w:rsidR="002317F8" w:rsidRPr="00F816BB" w:rsidRDefault="002317F8" w:rsidP="002317F8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8544" w14:textId="77101B3E" w:rsidR="00103E22" w:rsidRPr="00F816BB" w:rsidRDefault="002317F8" w:rsidP="002317F8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6701" w14:textId="209919F6" w:rsidR="00B94255" w:rsidRPr="00F816BB" w:rsidRDefault="00B94255" w:rsidP="00B94255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8162" w14:textId="1FC3C638" w:rsidR="00103E22" w:rsidRPr="00F816BB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555C" w14:textId="336FF804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6C35" w14:textId="7E28092B" w:rsidR="00103E22" w:rsidRPr="00F816BB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5.05%</w:t>
            </w:r>
          </w:p>
        </w:tc>
      </w:tr>
      <w:tr w:rsidR="00103E22" w:rsidRPr="005C4F0C" w14:paraId="4EAD52BA" w14:textId="77777777" w:rsidTr="00F816BB">
        <w:trPr>
          <w:trHeight w:val="262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15A8" w14:textId="77777777" w:rsidR="00103E22" w:rsidRPr="00F816BB" w:rsidDel="00A946B4" w:rsidRDefault="00103E22" w:rsidP="00103E22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77B0" w14:textId="11085D0D" w:rsidR="00103E22" w:rsidRPr="00F816BB" w:rsidDel="00A946B4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270.47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9AD6" w14:textId="1D386F23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257.59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0658" w14:textId="4D951D24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2885" w14:textId="470DF817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6C41" w14:textId="04B990D2" w:rsidR="00103E22" w:rsidRPr="00F816BB" w:rsidDel="00A946B4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CFB4" w14:textId="34980F43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2148" w14:textId="2105D69C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886B" w14:textId="3219E52C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4.98%</w:t>
            </w:r>
          </w:p>
        </w:tc>
      </w:tr>
      <w:tr w:rsidR="00103E22" w:rsidRPr="005C4F0C" w14:paraId="1781122E" w14:textId="77777777" w:rsidTr="00F816BB">
        <w:trPr>
          <w:trHeight w:val="262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8C19" w14:textId="77777777" w:rsidR="00103E22" w:rsidRPr="00F816BB" w:rsidDel="00A946B4" w:rsidRDefault="00103E22" w:rsidP="00103E22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5D0" w14:textId="69889ACF" w:rsidR="00103E22" w:rsidRPr="00F816BB" w:rsidDel="00A946B4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422.59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3AA2" w14:textId="190C547B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402.47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2C40" w14:textId="3C85CE72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4D18" w14:textId="7DF371C1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743F" w14:textId="55570C18" w:rsidR="00103E22" w:rsidRPr="00F816BB" w:rsidDel="00A946B4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8F9F" w14:textId="488E4AAA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8E9E" w14:textId="2AFE9F4D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24A8" w14:textId="75ADE368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4.98%</w:t>
            </w:r>
          </w:p>
        </w:tc>
      </w:tr>
      <w:tr w:rsidR="00103E22" w:rsidRPr="005C4F0C" w14:paraId="347E5754" w14:textId="77777777" w:rsidTr="00F816BB">
        <w:trPr>
          <w:trHeight w:val="262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3DAF" w14:textId="77777777" w:rsidR="00103E22" w:rsidRPr="00F816BB" w:rsidDel="00A946B4" w:rsidRDefault="00103E22" w:rsidP="00103E22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4DA6" w14:textId="7CD5E9A7" w:rsidR="00103E22" w:rsidRPr="00F816BB" w:rsidDel="00A946B4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804.17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A26F" w14:textId="0911A018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765.88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0F3" w14:textId="724FEE22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38.29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4850" w14:textId="7F5FEC6D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C642" w14:textId="243CB60A" w:rsidR="00B94255" w:rsidRPr="00F816BB" w:rsidDel="00A946B4" w:rsidRDefault="00B94255" w:rsidP="00B94255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43.13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975C" w14:textId="15D346FC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41.08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85E7" w14:textId="168B9606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D4D3" w14:textId="2C20634F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4.99%</w:t>
            </w:r>
          </w:p>
        </w:tc>
      </w:tr>
      <w:tr w:rsidR="00103E22" w:rsidRPr="005C4F0C" w14:paraId="49132E65" w14:textId="77777777" w:rsidTr="00F816BB">
        <w:trPr>
          <w:trHeight w:val="262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FF97" w14:textId="77777777" w:rsidR="00103E22" w:rsidRPr="00F816BB" w:rsidDel="00A946B4" w:rsidRDefault="00103E22" w:rsidP="00103E22">
            <w:pPr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Públicas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2809" w14:textId="1C0DF0E8" w:rsidR="00103E22" w:rsidRPr="00F816BB" w:rsidDel="00A946B4" w:rsidRDefault="00B94255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221.96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B590" w14:textId="04376F0C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211.39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3C6A" w14:textId="45914B5F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85F4" w14:textId="1DFE006B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9425" w14:textId="3155F9F1" w:rsidR="00B94255" w:rsidRPr="00F816BB" w:rsidDel="00A946B4" w:rsidRDefault="00B94255" w:rsidP="00B94255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1341" w14:textId="6556E240" w:rsidR="00103E22" w:rsidRPr="00F816BB" w:rsidDel="00A946B4" w:rsidRDefault="00103E22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66DA" w14:textId="4F16F9F4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828D" w14:textId="4E80900E" w:rsidR="00103E22" w:rsidRPr="00F816BB" w:rsidDel="00A946B4" w:rsidRDefault="002317F8" w:rsidP="00103E22">
            <w:pPr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4.98%</w:t>
            </w:r>
          </w:p>
        </w:tc>
      </w:tr>
    </w:tbl>
    <w:p w14:paraId="70F53FA1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6ED1F256" w14:textId="77777777" w:rsidR="00580787" w:rsidRDefault="00580787" w:rsidP="00580787">
      <w:pPr>
        <w:jc w:val="both"/>
        <w:rPr>
          <w:rFonts w:ascii="Arial" w:hAnsi="Arial" w:cs="Arial"/>
        </w:rPr>
      </w:pPr>
      <w:bookmarkStart w:id="3" w:name="_MON_1422440100"/>
      <w:bookmarkEnd w:id="3"/>
    </w:p>
    <w:p w14:paraId="074AB6AC" w14:textId="77777777" w:rsidR="00580787" w:rsidRDefault="00580787" w:rsidP="00580787">
      <w:pPr>
        <w:jc w:val="both"/>
        <w:rPr>
          <w:rFonts w:ascii="Arial" w:hAnsi="Arial" w:cs="Arial"/>
        </w:rPr>
      </w:pPr>
    </w:p>
    <w:p w14:paraId="584E877A" w14:textId="77777777"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9. Señale el monto y porcentaje que aporta cada uno de los tipos de usos de la toma de </w:t>
      </w:r>
      <w:r>
        <w:rPr>
          <w:rFonts w:ascii="Arial" w:hAnsi="Arial" w:cs="Arial"/>
        </w:rPr>
        <w:t>a</w:t>
      </w:r>
      <w:r w:rsidRPr="00256AB7">
        <w:rPr>
          <w:rFonts w:ascii="Arial" w:hAnsi="Arial" w:cs="Arial"/>
        </w:rPr>
        <w:t>gua en el total de la r</w:t>
      </w:r>
      <w:r>
        <w:rPr>
          <w:rFonts w:ascii="Arial" w:hAnsi="Arial" w:cs="Arial"/>
        </w:rPr>
        <w:t>ecaudación por E</w:t>
      </w:r>
      <w:r w:rsidRPr="00256AB7">
        <w:rPr>
          <w:rFonts w:ascii="Arial" w:hAnsi="Arial" w:cs="Arial"/>
        </w:rPr>
        <w:t>ntidad y su comparación con el año anterior al que se informa.</w:t>
      </w:r>
    </w:p>
    <w:p w14:paraId="57B0267D" w14:textId="77777777" w:rsidR="00580787" w:rsidRDefault="00580787" w:rsidP="00580787">
      <w:pPr>
        <w:jc w:val="both"/>
        <w:rPr>
          <w:rFonts w:ascii="Arial" w:hAnsi="Arial" w:cs="Arial"/>
        </w:rPr>
      </w:pPr>
    </w:p>
    <w:p w14:paraId="1BC17B14" w14:textId="77777777" w:rsidR="00580787" w:rsidRDefault="00580787" w:rsidP="00580787">
      <w:pPr>
        <w:jc w:val="both"/>
        <w:rPr>
          <w:rFonts w:ascii="Arial" w:hAnsi="Arial" w:cs="Arial"/>
        </w:rPr>
      </w:pPr>
    </w:p>
    <w:p w14:paraId="689B76CB" w14:textId="77777777" w:rsidR="00580787" w:rsidRDefault="00580787" w:rsidP="00580787">
      <w:pPr>
        <w:jc w:val="both"/>
        <w:rPr>
          <w:rFonts w:ascii="Arial" w:hAnsi="Arial" w:cs="Arial"/>
        </w:rPr>
      </w:pPr>
    </w:p>
    <w:p w14:paraId="2F29435B" w14:textId="77777777" w:rsidR="00580787" w:rsidRDefault="00580787" w:rsidP="00580787">
      <w:pPr>
        <w:jc w:val="both"/>
        <w:rPr>
          <w:rFonts w:ascii="Arial" w:hAnsi="Arial" w:cs="Arial"/>
        </w:rPr>
      </w:pPr>
    </w:p>
    <w:p w14:paraId="5D09CC54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8"/>
        <w:gridCol w:w="1130"/>
        <w:gridCol w:w="1112"/>
        <w:gridCol w:w="1342"/>
        <w:gridCol w:w="956"/>
        <w:gridCol w:w="1342"/>
        <w:gridCol w:w="921"/>
      </w:tblGrid>
      <w:tr w:rsidR="00580787" w:rsidRPr="005C4F0C" w14:paraId="130DA389" w14:textId="77777777" w:rsidTr="00C44CB3">
        <w:trPr>
          <w:trHeight w:val="30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F09D49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Ref.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CEF381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Uso de la Base con medidor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606A9C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Usuarios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BE6DF33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 recaudado</w:t>
            </w:r>
          </w:p>
        </w:tc>
      </w:tr>
      <w:tr w:rsidR="00580787" w:rsidRPr="005C4F0C" w14:paraId="7BF16E28" w14:textId="77777777" w:rsidTr="00C44CB3">
        <w:trPr>
          <w:trHeight w:val="72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89ED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03B2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3178CA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F3AEE8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89C5BC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7393C4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F89136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E77146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</w:t>
            </w: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otal</w:t>
            </w:r>
          </w:p>
        </w:tc>
      </w:tr>
      <w:tr w:rsidR="00C44CB3" w:rsidRPr="005C4F0C" w14:paraId="393B7544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721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DE7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CEE" w14:textId="3BFDE9FE" w:rsidR="00B94255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3385" w14:textId="1DA6A9BF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13,186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615" w14:textId="48CF6E1E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31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34,454,639.40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1BA1" w14:textId="36842B31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88.75%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CDD3" w14:textId="3C7A1D61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27,840,224.59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E56D" w14:textId="4F3937C2" w:rsidR="00C44CB3" w:rsidRPr="005C4F0C" w:rsidRDefault="006F3768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89.97%</w:t>
            </w:r>
            <w:r w:rsidR="00C44CB3"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4CB3" w:rsidRPr="005C4F0C" w14:paraId="1BA2203C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967C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248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no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00D" w14:textId="7E7AD2ED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4AFF" w14:textId="09C7D3BD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BED" w14:textId="128288E6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31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4398240.73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AEB" w14:textId="0F35DC4D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11.32%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F94" w14:textId="4760F695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3,364,133.46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FAF3" w14:textId="1A90E0A0" w:rsidR="00C44CB3" w:rsidRPr="005C4F0C" w:rsidRDefault="006F3768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10.78%</w:t>
            </w:r>
            <w:r w:rsidR="00C44CB3"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4CB3" w:rsidRPr="005C4F0C" w14:paraId="527E0869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D1D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E7AA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658F" w14:textId="188B979F" w:rsidR="00B94255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215" w14:textId="32384180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F05" w14:textId="2B716770" w:rsidR="002317F8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317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4FEB" w14:textId="205132AB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C0B1" w14:textId="57F996B3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35E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4CB3" w:rsidRPr="005C4F0C" w14:paraId="1B236627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8720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E70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A65" w14:textId="561B644E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94255"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14769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CA56" w14:textId="28D611A7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14,208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053" w14:textId="24C6EED4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2317F8"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38,852,880.13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F3C7" w14:textId="096BE4FA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8E7" w14:textId="1DF3CB64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31,204,358.05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8712" w14:textId="617D9037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  <w:tr w:rsidR="00C44CB3" w:rsidRPr="005C4F0C" w14:paraId="56F6A046" w14:textId="77777777" w:rsidTr="00C44CB3">
        <w:trPr>
          <w:trHeight w:val="30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12AAE1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Ref.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3242DE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Uso de la Base sin medidor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3C2348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Usuarios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C223275" w14:textId="413BA3A4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proofErr w:type="gramStart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</w:t>
            </w:r>
            <w:proofErr w:type="gramEnd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recaudado</w:t>
            </w:r>
          </w:p>
        </w:tc>
      </w:tr>
      <w:tr w:rsidR="00C44CB3" w:rsidRPr="005C4F0C" w14:paraId="2BFF921B" w14:textId="77777777" w:rsidTr="00C44CB3">
        <w:trPr>
          <w:trHeight w:val="72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7B3D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BCE3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760F41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3412B2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BE0796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35E5EC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C2862B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A20DFD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</w:t>
            </w: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otal</w:t>
            </w:r>
          </w:p>
        </w:tc>
      </w:tr>
      <w:tr w:rsidR="00C44CB3" w:rsidRPr="005C4F0C" w14:paraId="73E2E1EA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E91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2277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523" w14:textId="7DB8D8C0" w:rsidR="00B94255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4A4B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B9D" w14:textId="6A23F82E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F17" w14:textId="451B43C5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12,652,833.68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304" w14:textId="55D6BCA8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91.94%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2C3D" w14:textId="66BA7D51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10,717,593.33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D8E" w14:textId="4B749374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94.61%</w:t>
            </w:r>
          </w:p>
        </w:tc>
      </w:tr>
      <w:tr w:rsidR="00C44CB3" w:rsidRPr="005C4F0C" w14:paraId="17CA732D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C56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E2AB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Uso no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BBBF" w14:textId="3CCFC32A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7185" w14:textId="4C562B34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AB5" w14:textId="739E39F8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1,104,821.24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7EDB" w14:textId="4DF714AE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8..03%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DE0" w14:textId="46286570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608,180.89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DCE" w14:textId="2301879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5.37%</w:t>
            </w:r>
          </w:p>
        </w:tc>
      </w:tr>
      <w:tr w:rsidR="00C44CB3" w:rsidRPr="005C4F0C" w14:paraId="75D187A7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8EF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C85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E00A" w14:textId="44977273" w:rsidR="00B94255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9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B51" w14:textId="25E868BE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84B" w14:textId="03964EB5" w:rsidR="006F3768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B53C" w14:textId="59553C90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610" w14:textId="20165E40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2E2F" w14:textId="37E4167D" w:rsidR="006F3768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44CB3" w:rsidRPr="005C4F0C" w14:paraId="6D8072D3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5EC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2C7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DEF" w14:textId="0B600552" w:rsidR="00B94255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94255"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4A4B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94255"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38CA" w14:textId="0814EAB3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7,969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92B" w14:textId="3E9D9492" w:rsidR="006F3768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13,757654.92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5405" w14:textId="471BE851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ECA" w14:textId="191956E6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11,325,774.22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CFC" w14:textId="6D11DFDE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  <w:tr w:rsidR="00C44CB3" w:rsidRPr="005C4F0C" w14:paraId="71301058" w14:textId="77777777" w:rsidTr="00C44CB3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C1FC57" w14:textId="77777777" w:rsidR="00C44CB3" w:rsidRPr="005C4F0C" w:rsidRDefault="00C44CB3" w:rsidP="00C44CB3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FA80D3" w14:textId="77777777" w:rsidR="00C44CB3" w:rsidRPr="005C4F0C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Gran 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C28" w14:textId="37604645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B94255"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</w:t>
            </w:r>
            <w:r w:rsidR="004A4B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94255"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DF7" w14:textId="348DBA0C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22,177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1B4" w14:textId="4889FC38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52,610,535.05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056" w14:textId="232CFE0F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D4C" w14:textId="1139CF75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42,530,132.27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8B2" w14:textId="767BD8AF" w:rsidR="00C44CB3" w:rsidRPr="006F3768" w:rsidRDefault="00C44CB3" w:rsidP="00C44CB3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6F3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</w:tbl>
    <w:p w14:paraId="5BEFFC33" w14:textId="77777777" w:rsidR="00580787" w:rsidRDefault="00580787" w:rsidP="00580787">
      <w:pPr>
        <w:jc w:val="both"/>
        <w:rPr>
          <w:rFonts w:ascii="Arial" w:hAnsi="Arial" w:cs="Arial"/>
        </w:rPr>
      </w:pPr>
    </w:p>
    <w:p w14:paraId="20AB10AA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5DAAFEF5" w14:textId="77777777"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lastRenderedPageBreak/>
        <w:t>10. Si se realizaron algunas de las siguientes acciones administrativas para aumentar o disminuir el potencial recaudatorio en el cobro de los derechos por suministro de agua, describa cómo se realizaron y anexe documentos que amparen dichas acciones:</w:t>
      </w:r>
    </w:p>
    <w:p w14:paraId="0403D580" w14:textId="77777777" w:rsidR="00580787" w:rsidRDefault="00580787" w:rsidP="00580787">
      <w:pPr>
        <w:jc w:val="both"/>
        <w:rPr>
          <w:rFonts w:ascii="Arial" w:hAnsi="Arial" w:cs="Arial"/>
        </w:rPr>
      </w:pPr>
    </w:p>
    <w:p w14:paraId="22223078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14AA4270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Detección de tomas clandestinas</w:t>
      </w:r>
    </w:p>
    <w:p w14:paraId="62C38A2B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Análisis de consumos</w:t>
      </w:r>
    </w:p>
    <w:p w14:paraId="02987867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Inspecciones domiciliarias para detección de irregularidades</w:t>
      </w:r>
    </w:p>
    <w:p w14:paraId="2E4FC6A9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Programas de descuentos</w:t>
      </w:r>
    </w:p>
    <w:p w14:paraId="45850090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Descuentos por pago anual </w:t>
      </w:r>
    </w:p>
    <w:p w14:paraId="1A736384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Campañas publicitarias</w:t>
      </w:r>
    </w:p>
    <w:p w14:paraId="57BD7234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Depuración en el padrón de usuarios</w:t>
      </w:r>
    </w:p>
    <w:p w14:paraId="19D31806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Cobro coactivo</w:t>
      </w:r>
    </w:p>
    <w:p w14:paraId="524D5D91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Estímulos al pago por medio de sorteos</w:t>
      </w:r>
    </w:p>
    <w:p w14:paraId="7D0B7723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Facilidades de pago por medio de la celebración de convenios</w:t>
      </w:r>
    </w:p>
    <w:p w14:paraId="3BE67665" w14:textId="77777777" w:rsidR="00580787" w:rsidRPr="00256AB7" w:rsidRDefault="00580787" w:rsidP="0058078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Ampliación en cobertura de pago (bancos, internet, módulos, etc.)</w:t>
      </w:r>
    </w:p>
    <w:p w14:paraId="1358E420" w14:textId="77777777" w:rsidR="00580787" w:rsidRPr="00256AB7" w:rsidRDefault="00580787" w:rsidP="0058078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Modernización de su sistema administrativo</w:t>
      </w:r>
    </w:p>
    <w:p w14:paraId="54345486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Equipamiento, construcción y ampliaciones de las redes de conducción de agua</w:t>
      </w:r>
    </w:p>
    <w:p w14:paraId="769B7BA8" w14:textId="77777777"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Otros (especificar)</w:t>
      </w:r>
    </w:p>
    <w:p w14:paraId="45E3DA36" w14:textId="77777777" w:rsidR="00580787" w:rsidRDefault="00580787" w:rsidP="00580787">
      <w:pPr>
        <w:jc w:val="both"/>
        <w:rPr>
          <w:rFonts w:ascii="Arial" w:hAnsi="Arial" w:cs="Arial"/>
        </w:rPr>
      </w:pPr>
    </w:p>
    <w:p w14:paraId="51371EF6" w14:textId="77777777" w:rsidR="00580787" w:rsidRDefault="00580787" w:rsidP="00580787">
      <w:pPr>
        <w:jc w:val="both"/>
        <w:rPr>
          <w:rFonts w:ascii="Arial" w:hAnsi="Arial" w:cs="Arial"/>
        </w:rPr>
      </w:pPr>
    </w:p>
    <w:p w14:paraId="147D7DAA" w14:textId="77777777" w:rsidR="00387DCC" w:rsidRPr="00F816BB" w:rsidRDefault="00387DCC" w:rsidP="00387DCC">
      <w:pPr>
        <w:jc w:val="both"/>
        <w:rPr>
          <w:rFonts w:ascii="Arial" w:hAnsi="Arial" w:cs="Arial"/>
          <w:b/>
          <w:u w:val="single"/>
        </w:rPr>
      </w:pPr>
      <w:bookmarkStart w:id="4" w:name="_Hlk194052272"/>
      <w:r w:rsidRPr="00F816BB">
        <w:rPr>
          <w:rFonts w:ascii="Arial" w:hAnsi="Arial" w:cs="Arial"/>
          <w:b/>
          <w:u w:val="single"/>
        </w:rPr>
        <w:t xml:space="preserve">Programas de descuentos por pago anual </w:t>
      </w:r>
    </w:p>
    <w:p w14:paraId="2D4A90D7" w14:textId="77777777" w:rsidR="00387DCC" w:rsidRPr="00F171DE" w:rsidRDefault="00387DCC" w:rsidP="00387DCC">
      <w:pPr>
        <w:jc w:val="both"/>
        <w:rPr>
          <w:rFonts w:ascii="Arial" w:hAnsi="Arial" w:cs="Arial"/>
        </w:rPr>
      </w:pPr>
    </w:p>
    <w:p w14:paraId="20A356C8" w14:textId="22D26A8E" w:rsidR="00387DCC" w:rsidRDefault="00387DCC" w:rsidP="00387DCC">
      <w:pPr>
        <w:jc w:val="both"/>
        <w:rPr>
          <w:rFonts w:ascii="Arial" w:hAnsi="Arial" w:cs="Arial"/>
        </w:rPr>
      </w:pPr>
      <w:r w:rsidRPr="00F171DE">
        <w:rPr>
          <w:rFonts w:ascii="Arial" w:hAnsi="Arial" w:cs="Arial"/>
        </w:rPr>
        <w:t>El Art. 95 de la Ley Orgánica del Municipio Libre señala que Cuando se trate del cobro de cuotas o tarifas por concepto de agua potable y alcantarillado a pensionistas y jubilados, o en su caso a la viuda o concubina legalmente reconocida de éstos, se les disminuirá el 50% sobre la cuota o tarifa que les corresponda. Y descuento del 10% al Público en General por pago puntual. Sobre esta acción se realizaron campañas publicitarias invitando a los usuarios a participar en el pago anual anticipado.</w:t>
      </w:r>
    </w:p>
    <w:p w14:paraId="7D4E9F27" w14:textId="77777777" w:rsidR="00790CB6" w:rsidRPr="00F171DE" w:rsidRDefault="00790CB6" w:rsidP="00387DCC">
      <w:pPr>
        <w:jc w:val="both"/>
        <w:rPr>
          <w:rFonts w:ascii="Arial" w:hAnsi="Arial" w:cs="Arial"/>
        </w:rPr>
      </w:pPr>
    </w:p>
    <w:p w14:paraId="4AAB98EF" w14:textId="0E132A80" w:rsidR="00580787" w:rsidRDefault="00790CB6" w:rsidP="00580787">
      <w:pPr>
        <w:jc w:val="both"/>
        <w:rPr>
          <w:rFonts w:ascii="Arial" w:hAnsi="Arial" w:cs="Arial"/>
        </w:rPr>
      </w:pPr>
      <w:r w:rsidRPr="00790CB6">
        <w:rPr>
          <w:rFonts w:ascii="Arial" w:hAnsi="Arial" w:cs="Arial"/>
          <w:b/>
          <w:u w:val="single"/>
        </w:rPr>
        <w:t>Incremento de 5% para el ejercicio 2024</w:t>
      </w:r>
    </w:p>
    <w:p w14:paraId="3416F34C" w14:textId="4C3C85A4" w:rsidR="00580787" w:rsidRDefault="00635325" w:rsidP="0058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Incremento de 5% para el ejercicio 2024 la tarifa de cobro por los servicios de agua, drenaje, tratamiento de agua residuales y alcantarillado, que brinda la comisión municipal de agua y saneamiento de Coatepec, Ver. </w:t>
      </w:r>
    </w:p>
    <w:p w14:paraId="322CE55B" w14:textId="77777777" w:rsidR="00790CB6" w:rsidRDefault="00790CB6" w:rsidP="00580787">
      <w:pPr>
        <w:jc w:val="both"/>
        <w:rPr>
          <w:rFonts w:ascii="Arial" w:hAnsi="Arial" w:cs="Arial"/>
        </w:rPr>
      </w:pPr>
    </w:p>
    <w:p w14:paraId="4023E45B" w14:textId="7E94EBF4" w:rsidR="00790CB6" w:rsidRPr="00790CB6" w:rsidRDefault="00790CB6" w:rsidP="00580787">
      <w:pPr>
        <w:jc w:val="both"/>
        <w:rPr>
          <w:rFonts w:ascii="Arial" w:hAnsi="Arial" w:cs="Arial"/>
          <w:b/>
          <w:u w:val="single"/>
        </w:rPr>
      </w:pPr>
      <w:r w:rsidRPr="00790CB6">
        <w:rPr>
          <w:rFonts w:ascii="Arial" w:hAnsi="Arial" w:cs="Arial"/>
          <w:b/>
          <w:u w:val="single"/>
        </w:rPr>
        <w:t>Equipamiento, Construcción y ampliación de las redes de agua</w:t>
      </w:r>
    </w:p>
    <w:p w14:paraId="53DC8B9A" w14:textId="5F2240FC" w:rsidR="00635325" w:rsidRDefault="00635325" w:rsidP="0058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Equipamiento, Construcción y ampliación de las redes de agua, suministro de material para el mantenimiento y mejoramiento de 1,327M</w:t>
      </w:r>
      <w:r w:rsidR="00870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red de distribución de agua potable, suministro e instalación de material para 626 tomas, suministro e instalación de material para mantenimiento y mejoramiento de 4 instalaciones electromecánicas de los sistemas de bombeo, suministro de material para la rehabilitación </w:t>
      </w:r>
      <w:r w:rsidR="00490138">
        <w:rPr>
          <w:rFonts w:ascii="Arial" w:hAnsi="Arial" w:cs="Arial"/>
        </w:rPr>
        <w:t xml:space="preserve">de 787M de redes y colectores de alcantarillado. </w:t>
      </w:r>
      <w:r>
        <w:rPr>
          <w:rFonts w:ascii="Arial" w:hAnsi="Arial" w:cs="Arial"/>
        </w:rPr>
        <w:t xml:space="preserve">   </w:t>
      </w:r>
    </w:p>
    <w:p w14:paraId="6F8088B7" w14:textId="5C013879" w:rsidR="00580787" w:rsidRDefault="00580787" w:rsidP="00580787">
      <w:pPr>
        <w:jc w:val="both"/>
        <w:rPr>
          <w:rFonts w:ascii="Arial" w:hAnsi="Arial" w:cs="Arial"/>
        </w:rPr>
      </w:pPr>
    </w:p>
    <w:p w14:paraId="35E04E54" w14:textId="7929B438" w:rsidR="00790CB6" w:rsidRPr="00790CB6" w:rsidRDefault="00790CB6" w:rsidP="00580787">
      <w:pPr>
        <w:jc w:val="both"/>
        <w:rPr>
          <w:rFonts w:ascii="Arial" w:hAnsi="Arial" w:cs="Arial"/>
          <w:b/>
          <w:u w:val="single"/>
        </w:rPr>
      </w:pPr>
      <w:r w:rsidRPr="00790CB6">
        <w:rPr>
          <w:rFonts w:ascii="Arial" w:hAnsi="Arial" w:cs="Arial"/>
          <w:b/>
          <w:u w:val="single"/>
        </w:rPr>
        <w:t>Detección de tomas clandestinas</w:t>
      </w:r>
    </w:p>
    <w:p w14:paraId="3109DA14" w14:textId="7BCE2C72" w:rsidR="00580787" w:rsidRDefault="0087042E" w:rsidP="0058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Detección de tomas clandestinas las cuales fueron multadas en el periodo 2024</w:t>
      </w:r>
      <w:r w:rsidR="00767FA2">
        <w:rPr>
          <w:rFonts w:ascii="Arial" w:hAnsi="Arial" w:cs="Arial"/>
        </w:rPr>
        <w:t xml:space="preserve">. Se anexa ejemplo de toma clandestina. </w:t>
      </w:r>
    </w:p>
    <w:bookmarkEnd w:id="4"/>
    <w:p w14:paraId="534CC36E" w14:textId="77777777" w:rsidR="00790CB6" w:rsidRDefault="00790CB6" w:rsidP="00790CB6">
      <w:pPr>
        <w:jc w:val="both"/>
        <w:rPr>
          <w:rFonts w:ascii="Arial" w:hAnsi="Arial" w:cs="Arial"/>
        </w:rPr>
      </w:pPr>
    </w:p>
    <w:p w14:paraId="32E22BF8" w14:textId="56CB60C8" w:rsidR="00790CB6" w:rsidRPr="00790CB6" w:rsidRDefault="00790CB6" w:rsidP="00790CB6">
      <w:pPr>
        <w:jc w:val="both"/>
        <w:rPr>
          <w:rFonts w:ascii="Arial" w:hAnsi="Arial" w:cs="Arial"/>
          <w:b/>
          <w:u w:val="single"/>
        </w:rPr>
      </w:pPr>
      <w:bookmarkStart w:id="5" w:name="_Hlk194055694"/>
      <w:r w:rsidRPr="00790CB6">
        <w:rPr>
          <w:rFonts w:ascii="Arial" w:hAnsi="Arial" w:cs="Arial"/>
          <w:b/>
          <w:u w:val="single"/>
        </w:rPr>
        <w:t>Facilidades de pago por medio de la celebración de convenios</w:t>
      </w:r>
    </w:p>
    <w:p w14:paraId="35F36547" w14:textId="6C6091C1" w:rsidR="00580787" w:rsidRDefault="00476ECE" w:rsidP="0058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a celebración de convenios por cartera vencida se realizaron un total de 1,210 convenios en 2024 por un total de 5,247442.06</w:t>
      </w:r>
      <w:r w:rsidR="00FD5191">
        <w:rPr>
          <w:rFonts w:ascii="Arial" w:hAnsi="Arial" w:cs="Arial"/>
        </w:rPr>
        <w:t>.</w:t>
      </w:r>
    </w:p>
    <w:bookmarkEnd w:id="5"/>
    <w:p w14:paraId="55811382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53D63D57" w14:textId="77777777"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lastRenderedPageBreak/>
        <w:t>11. De existir plantas de tratamiento de aguas residuales, señale cuántas hay, en qué municipio, su capacidad y</w:t>
      </w:r>
      <w:r>
        <w:rPr>
          <w:rFonts w:ascii="Arial" w:hAnsi="Arial" w:cs="Arial"/>
        </w:rPr>
        <w:t>,</w:t>
      </w:r>
      <w:r w:rsidRPr="00256AB7">
        <w:rPr>
          <w:rFonts w:ascii="Arial" w:hAnsi="Arial" w:cs="Arial"/>
        </w:rPr>
        <w:t xml:space="preserve"> en su caso</w:t>
      </w:r>
      <w:r>
        <w:rPr>
          <w:rFonts w:ascii="Arial" w:hAnsi="Arial" w:cs="Arial"/>
        </w:rPr>
        <w:t>,</w:t>
      </w:r>
      <w:r w:rsidRPr="00256AB7">
        <w:rPr>
          <w:rFonts w:ascii="Arial" w:hAnsi="Arial" w:cs="Arial"/>
        </w:rPr>
        <w:t xml:space="preserve"> el costo - beneficio.</w:t>
      </w:r>
    </w:p>
    <w:p w14:paraId="5CFC07A6" w14:textId="77777777" w:rsidR="00580787" w:rsidRDefault="00580787" w:rsidP="00580787">
      <w:pPr>
        <w:jc w:val="both"/>
        <w:rPr>
          <w:rFonts w:ascii="Arial" w:hAnsi="Arial" w:cs="Arial"/>
        </w:rPr>
      </w:pPr>
    </w:p>
    <w:p w14:paraId="4BBE4B5D" w14:textId="77777777" w:rsidR="00580787" w:rsidRDefault="00580787" w:rsidP="00580787">
      <w:pPr>
        <w:jc w:val="both"/>
        <w:rPr>
          <w:rFonts w:ascii="Arial" w:hAnsi="Arial" w:cs="Arial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600"/>
        <w:gridCol w:w="1500"/>
        <w:gridCol w:w="1080"/>
      </w:tblGrid>
      <w:tr w:rsidR="00580787" w:rsidRPr="005C4F0C" w14:paraId="1496D57F" w14:textId="77777777" w:rsidTr="004740DC">
        <w:trPr>
          <w:trHeight w:val="4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5E0361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6" w:name="_MON_1422440498"/>
            <w:bookmarkEnd w:id="6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B47CD9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Plantas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267E27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Capacidad litros/segundo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C27888" w14:textId="77777777"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Costo-Beneficio</w:t>
            </w:r>
          </w:p>
        </w:tc>
      </w:tr>
      <w:tr w:rsidR="00580787" w:rsidRPr="005C4F0C" w14:paraId="2E340B6A" w14:textId="77777777" w:rsidTr="004740DC">
        <w:trPr>
          <w:trHeight w:val="2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5AD" w14:textId="0CB8A342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44CB3">
              <w:rPr>
                <w:rFonts w:ascii="Arial" w:eastAsia="Times New Roman" w:hAnsi="Arial" w:cs="Arial"/>
                <w:color w:val="000000"/>
                <w:lang w:eastAsia="es-MX"/>
              </w:rPr>
              <w:t>Coatepec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5510" w14:textId="3784C462" w:rsidR="00580787" w:rsidRPr="005C4F0C" w:rsidRDefault="00C44CB3" w:rsidP="00C44CB3">
            <w:pPr>
              <w:ind w:right="0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9FE" w14:textId="1C3BDD0D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44CB3">
              <w:rPr>
                <w:rFonts w:ascii="Arial" w:eastAsia="Times New Roman" w:hAnsi="Arial" w:cs="Arial"/>
                <w:color w:val="000000"/>
                <w:lang w:eastAsia="es-MX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B12" w14:textId="59B7703E" w:rsidR="00580787" w:rsidRPr="005C4F0C" w:rsidRDefault="00C44CB3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$1.</w:t>
            </w:r>
            <w:r w:rsidR="008742F0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/m3</w:t>
            </w:r>
          </w:p>
        </w:tc>
      </w:tr>
      <w:tr w:rsidR="00580787" w:rsidRPr="005C4F0C" w14:paraId="5280D7C8" w14:textId="77777777" w:rsidTr="004740DC">
        <w:trPr>
          <w:trHeight w:val="22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AE3D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DA3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7E3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8DC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14:paraId="799B0E2F" w14:textId="77777777" w:rsidTr="004740DC">
        <w:trPr>
          <w:trHeight w:val="22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5C7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FE9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4576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536" w14:textId="77777777"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4C7C0B8C" w14:textId="77777777" w:rsidR="00580787" w:rsidRPr="00256AB7" w:rsidRDefault="00580787" w:rsidP="00580787">
      <w:pPr>
        <w:jc w:val="both"/>
        <w:rPr>
          <w:rFonts w:ascii="Arial" w:hAnsi="Arial" w:cs="Arial"/>
        </w:rPr>
      </w:pPr>
    </w:p>
    <w:p w14:paraId="4DD3D80B" w14:textId="77777777" w:rsidR="00580787" w:rsidRDefault="00580787" w:rsidP="00580787">
      <w:pPr>
        <w:jc w:val="both"/>
        <w:rPr>
          <w:rFonts w:ascii="Arial" w:hAnsi="Arial" w:cs="Arial"/>
          <w:b/>
        </w:rPr>
      </w:pPr>
    </w:p>
    <w:p w14:paraId="53140433" w14:textId="77777777" w:rsidR="00580787" w:rsidRDefault="00580787" w:rsidP="00580787">
      <w:pPr>
        <w:jc w:val="both"/>
        <w:rPr>
          <w:rFonts w:ascii="Arial" w:hAnsi="Arial" w:cs="Arial"/>
          <w:b/>
        </w:rPr>
      </w:pPr>
    </w:p>
    <w:p w14:paraId="41F1E913" w14:textId="77777777" w:rsidR="00580787" w:rsidRDefault="00580787" w:rsidP="00580787">
      <w:pPr>
        <w:jc w:val="both"/>
        <w:rPr>
          <w:rFonts w:ascii="Arial" w:hAnsi="Arial" w:cs="Arial"/>
          <w:b/>
        </w:rPr>
      </w:pPr>
      <w:r w:rsidRPr="00925D03">
        <w:rPr>
          <w:rFonts w:ascii="Arial" w:hAnsi="Arial" w:cs="Arial"/>
          <w:b/>
        </w:rPr>
        <w:t>Notas:</w:t>
      </w:r>
    </w:p>
    <w:p w14:paraId="788761DB" w14:textId="77777777" w:rsidR="00580787" w:rsidRPr="00925D03" w:rsidRDefault="00580787" w:rsidP="00580787">
      <w:pPr>
        <w:jc w:val="both"/>
        <w:rPr>
          <w:rFonts w:ascii="Arial" w:hAnsi="Arial" w:cs="Arial"/>
          <w:b/>
        </w:rPr>
      </w:pPr>
    </w:p>
    <w:p w14:paraId="7CC1F43C" w14:textId="77777777"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1. En el caso de incrementos importantes en la recaudación o variaciones significativas con res</w:t>
      </w:r>
      <w:r>
        <w:rPr>
          <w:rFonts w:ascii="Arial" w:hAnsi="Arial" w:cs="Arial"/>
        </w:rPr>
        <w:t>pecto al año inmediato anterior;</w:t>
      </w:r>
      <w:r w:rsidRPr="00925D03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Pr="00925D03">
        <w:rPr>
          <w:rFonts w:ascii="Arial" w:hAnsi="Arial" w:cs="Arial"/>
        </w:rPr>
        <w:t xml:space="preserve"> cifras superiores como resultado de incrementos en tasas, cuotas o tarifas, deberá abundarse al respecto.</w:t>
      </w:r>
    </w:p>
    <w:p w14:paraId="37C38E5E" w14:textId="77777777" w:rsidR="00580787" w:rsidRPr="00925D03" w:rsidRDefault="00580787" w:rsidP="00580787">
      <w:pPr>
        <w:jc w:val="both"/>
        <w:rPr>
          <w:rFonts w:ascii="Arial" w:hAnsi="Arial" w:cs="Arial"/>
        </w:rPr>
      </w:pPr>
    </w:p>
    <w:p w14:paraId="64398DA1" w14:textId="77777777" w:rsidR="00580787" w:rsidRPr="001C4087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 xml:space="preserve">2. Debe aportar los elementos que se consideren necesarios a efecto de que el Comité de Vigilancia cuente con información suficiente para estar en condiciones de validar su información. </w:t>
      </w:r>
      <w:r>
        <w:rPr>
          <w:rFonts w:ascii="Arial" w:hAnsi="Arial" w:cs="Arial"/>
        </w:rPr>
        <w:t>Todo el soporte documental deberá adjuntarse en el apartado de información soporte de la plataforma.</w:t>
      </w:r>
    </w:p>
    <w:p w14:paraId="0EFB3F65" w14:textId="77777777" w:rsidR="00580787" w:rsidRPr="00925D03" w:rsidRDefault="00580787" w:rsidP="00580787">
      <w:pPr>
        <w:jc w:val="both"/>
        <w:rPr>
          <w:rFonts w:ascii="Arial" w:hAnsi="Arial" w:cs="Arial"/>
        </w:rPr>
      </w:pPr>
    </w:p>
    <w:p w14:paraId="57BBBA5D" w14:textId="77777777"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3. Se recomienda explicar los programas, acciones, enviar actas de cabildo, instr</w:t>
      </w:r>
      <w:r>
        <w:rPr>
          <w:rFonts w:ascii="Arial" w:hAnsi="Arial" w:cs="Arial"/>
        </w:rPr>
        <w:t>ucciones sobre operativos, etc.;</w:t>
      </w:r>
      <w:r w:rsidRPr="00925D03">
        <w:rPr>
          <w:rFonts w:ascii="Arial" w:hAnsi="Arial" w:cs="Arial"/>
        </w:rPr>
        <w:t xml:space="preserve"> tanto de la Entidad en su conjunto como de algún municipio en lo particular que se considere necesario. </w:t>
      </w:r>
    </w:p>
    <w:p w14:paraId="57E97639" w14:textId="77777777" w:rsidR="00580787" w:rsidRPr="00925D03" w:rsidRDefault="00580787" w:rsidP="00580787">
      <w:pPr>
        <w:jc w:val="both"/>
        <w:rPr>
          <w:rFonts w:ascii="Arial" w:hAnsi="Arial" w:cs="Arial"/>
        </w:rPr>
      </w:pPr>
    </w:p>
    <w:p w14:paraId="32694CE3" w14:textId="77777777"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 xml:space="preserve">4. La información que se solicita en la pregunta </w:t>
      </w:r>
      <w:r>
        <w:rPr>
          <w:rFonts w:ascii="Arial" w:hAnsi="Arial" w:cs="Arial"/>
        </w:rPr>
        <w:t>7</w:t>
      </w:r>
      <w:r w:rsidRPr="00925D03">
        <w:rPr>
          <w:rFonts w:ascii="Arial" w:hAnsi="Arial" w:cs="Arial"/>
        </w:rPr>
        <w:t xml:space="preserve"> corresponde contestar a aquellos organismos que tienen la capacidad e infraestructura administrativa que le</w:t>
      </w:r>
      <w:r>
        <w:rPr>
          <w:rFonts w:ascii="Arial" w:hAnsi="Arial" w:cs="Arial"/>
        </w:rPr>
        <w:t>s</w:t>
      </w:r>
      <w:r w:rsidRPr="00925D03">
        <w:rPr>
          <w:rFonts w:ascii="Arial" w:hAnsi="Arial" w:cs="Arial"/>
        </w:rPr>
        <w:t xml:space="preserve"> permite llevar estadísticas, o que por su magnitud son las generadoras de la mayor recaudación de los derechos por suministro de agua.</w:t>
      </w:r>
    </w:p>
    <w:p w14:paraId="0CB774B0" w14:textId="77777777" w:rsidR="00580787" w:rsidRPr="00925D03" w:rsidRDefault="00580787" w:rsidP="00580787">
      <w:pPr>
        <w:jc w:val="both"/>
        <w:rPr>
          <w:rFonts w:ascii="Arial" w:hAnsi="Arial" w:cs="Arial"/>
        </w:rPr>
      </w:pPr>
    </w:p>
    <w:p w14:paraId="75043DB4" w14:textId="77777777" w:rsidR="00DE5CB8" w:rsidRDefault="00580787" w:rsidP="00580787">
      <w:pPr>
        <w:jc w:val="both"/>
      </w:pPr>
      <w:r w:rsidRPr="00925D03">
        <w:rPr>
          <w:rFonts w:ascii="Arial" w:hAnsi="Arial" w:cs="Arial"/>
        </w:rPr>
        <w:t>5. Si a juicio de la Entidad requiere profundizar algún punto de su información que facilite la validación de las mismas, favor de agre</w:t>
      </w:r>
      <w:r w:rsidR="007B025D">
        <w:rPr>
          <w:rFonts w:ascii="Arial" w:hAnsi="Arial" w:cs="Arial"/>
        </w:rPr>
        <w:t>garlo al final del cuestionario.</w:t>
      </w:r>
    </w:p>
    <w:sectPr w:rsidR="00DE5C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B8C" w14:textId="77777777" w:rsidR="0084529C" w:rsidRDefault="0084529C" w:rsidP="00580787">
      <w:r>
        <w:separator/>
      </w:r>
    </w:p>
  </w:endnote>
  <w:endnote w:type="continuationSeparator" w:id="0">
    <w:p w14:paraId="371A6E57" w14:textId="77777777" w:rsidR="0084529C" w:rsidRDefault="0084529C" w:rsidP="005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4D8A" w14:textId="77777777" w:rsidR="0084529C" w:rsidRDefault="0084529C" w:rsidP="00580787">
      <w:r>
        <w:separator/>
      </w:r>
    </w:p>
  </w:footnote>
  <w:footnote w:type="continuationSeparator" w:id="0">
    <w:p w14:paraId="5CD8EBC1" w14:textId="77777777" w:rsidR="0084529C" w:rsidRDefault="0084529C" w:rsidP="005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3AEF" w14:textId="77777777" w:rsidR="00580787" w:rsidRDefault="00580787" w:rsidP="00580787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  <w:r w:rsidRPr="00A031D2">
      <w:rPr>
        <w:rFonts w:ascii="Arial" w:hAnsi="Arial" w:cs="Arial"/>
        <w:noProof/>
        <w:sz w:val="18"/>
        <w:lang w:eastAsia="es-MX"/>
      </w:rPr>
      <w:t xml:space="preserve">Cuestionario Derechos por </w:t>
    </w:r>
    <w:r>
      <w:rPr>
        <w:rFonts w:ascii="Arial" w:hAnsi="Arial" w:cs="Arial"/>
        <w:noProof/>
        <w:sz w:val="18"/>
        <w:lang w:eastAsia="es-MX"/>
      </w:rPr>
      <w:t>Suministro</w:t>
    </w:r>
    <w:r w:rsidRPr="00A031D2">
      <w:rPr>
        <w:rFonts w:ascii="Arial" w:hAnsi="Arial" w:cs="Arial"/>
        <w:noProof/>
        <w:sz w:val="18"/>
        <w:lang w:eastAsia="es-MX"/>
      </w:rPr>
      <w:t xml:space="preserve"> de Agua. Ejercicio 20</w:t>
    </w:r>
    <w:r>
      <w:rPr>
        <w:rFonts w:ascii="Arial" w:hAnsi="Arial" w:cs="Arial"/>
        <w:noProof/>
        <w:sz w:val="18"/>
        <w:lang w:eastAsia="es-MX"/>
      </w:rPr>
      <w:t>24</w:t>
    </w:r>
  </w:p>
  <w:p w14:paraId="3C89A789" w14:textId="77777777" w:rsidR="00580787" w:rsidRDefault="00580787" w:rsidP="00580787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</w:p>
  <w:p w14:paraId="07ECFBE7" w14:textId="77777777" w:rsidR="00580787" w:rsidRDefault="005807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7052"/>
    <w:multiLevelType w:val="hybridMultilevel"/>
    <w:tmpl w:val="4D44AD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928"/>
    <w:multiLevelType w:val="hybridMultilevel"/>
    <w:tmpl w:val="E9A886E4"/>
    <w:lvl w:ilvl="0" w:tplc="F36E8E4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6887"/>
    <w:multiLevelType w:val="hybridMultilevel"/>
    <w:tmpl w:val="4D44AD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87"/>
    <w:rsid w:val="000360EA"/>
    <w:rsid w:val="000D0D89"/>
    <w:rsid w:val="00103E22"/>
    <w:rsid w:val="002317F8"/>
    <w:rsid w:val="002E499D"/>
    <w:rsid w:val="0037764D"/>
    <w:rsid w:val="00387DCC"/>
    <w:rsid w:val="003D5E55"/>
    <w:rsid w:val="00476ECE"/>
    <w:rsid w:val="00490138"/>
    <w:rsid w:val="004A0587"/>
    <w:rsid w:val="004A4B64"/>
    <w:rsid w:val="00580787"/>
    <w:rsid w:val="00635325"/>
    <w:rsid w:val="006A4191"/>
    <w:rsid w:val="006F3768"/>
    <w:rsid w:val="00707C7E"/>
    <w:rsid w:val="0074242B"/>
    <w:rsid w:val="00767FA2"/>
    <w:rsid w:val="00790CB6"/>
    <w:rsid w:val="007B025D"/>
    <w:rsid w:val="0084529C"/>
    <w:rsid w:val="0087042E"/>
    <w:rsid w:val="008742F0"/>
    <w:rsid w:val="008A0CBC"/>
    <w:rsid w:val="009153FE"/>
    <w:rsid w:val="00AC57FD"/>
    <w:rsid w:val="00B41421"/>
    <w:rsid w:val="00B94255"/>
    <w:rsid w:val="00C44CB3"/>
    <w:rsid w:val="00C6181C"/>
    <w:rsid w:val="00F231B1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2C2D9"/>
  <w15:chartTrackingRefBased/>
  <w15:docId w15:val="{D4511880-6B8A-4825-9CBB-B5DE95E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87"/>
    <w:pPr>
      <w:spacing w:after="0" w:line="240" w:lineRule="auto"/>
      <w:ind w:right="51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7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787"/>
  </w:style>
  <w:style w:type="paragraph" w:styleId="Piedepgina">
    <w:name w:val="footer"/>
    <w:basedOn w:val="Normal"/>
    <w:link w:val="PiedepginaCar"/>
    <w:uiPriority w:val="99"/>
    <w:unhideWhenUsed/>
    <w:rsid w:val="005807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787"/>
  </w:style>
  <w:style w:type="paragraph" w:styleId="Prrafodelista">
    <w:name w:val="List Paragraph"/>
    <w:basedOn w:val="Normal"/>
    <w:uiPriority w:val="34"/>
    <w:qFormat/>
    <w:rsid w:val="00580787"/>
    <w:pPr>
      <w:ind w:left="720"/>
      <w:contextualSpacing/>
    </w:pPr>
  </w:style>
  <w:style w:type="paragraph" w:styleId="Ttulo">
    <w:name w:val="Title"/>
    <w:basedOn w:val="Normal"/>
    <w:link w:val="TtuloCar"/>
    <w:qFormat/>
    <w:rsid w:val="00580787"/>
    <w:pPr>
      <w:ind w:right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8078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80787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1370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Elizabeth Solorzano Ibañez</dc:creator>
  <cp:keywords/>
  <dc:description/>
  <cp:lastModifiedBy>CMAS COATEPEC</cp:lastModifiedBy>
  <cp:revision>13</cp:revision>
  <cp:lastPrinted>2025-03-27T23:13:00Z</cp:lastPrinted>
  <dcterms:created xsi:type="dcterms:W3CDTF">2025-03-25T20:59:00Z</dcterms:created>
  <dcterms:modified xsi:type="dcterms:W3CDTF">2025-03-28T18:08:00Z</dcterms:modified>
</cp:coreProperties>
</file>