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85F8" w14:textId="77777777" w:rsidR="00665980" w:rsidRPr="00F609EC" w:rsidRDefault="00665980" w:rsidP="00665980">
      <w:pPr>
        <w:pStyle w:val="Ttulo3"/>
        <w:rPr>
          <w:sz w:val="32"/>
          <w:szCs w:val="32"/>
        </w:rPr>
      </w:pPr>
      <w:r w:rsidRPr="00F609EC">
        <w:rPr>
          <w:sz w:val="32"/>
          <w:szCs w:val="32"/>
        </w:rPr>
        <w:t>Contribución Local: Impuesto Predial</w:t>
      </w:r>
    </w:p>
    <w:p w14:paraId="2A8B7BBF" w14:textId="77777777" w:rsidR="00665980" w:rsidRPr="00274D52" w:rsidRDefault="00665980" w:rsidP="00665980">
      <w:pPr>
        <w:rPr>
          <w:rFonts w:ascii="Arial" w:hAnsi="Arial" w:cs="Arial"/>
          <w:sz w:val="32"/>
          <w:szCs w:val="32"/>
          <w:lang w:val="es-ES"/>
        </w:rPr>
      </w:pPr>
    </w:p>
    <w:p w14:paraId="44172395" w14:textId="77777777" w:rsidR="00665980" w:rsidRPr="00F609EC" w:rsidRDefault="00665980" w:rsidP="00665980">
      <w:pPr>
        <w:pStyle w:val="Ttulo3"/>
        <w:rPr>
          <w:sz w:val="32"/>
          <w:szCs w:val="32"/>
        </w:rPr>
      </w:pPr>
      <w:r w:rsidRPr="00F609EC">
        <w:rPr>
          <w:sz w:val="32"/>
          <w:szCs w:val="32"/>
        </w:rPr>
        <w:t>CUESTIONARIO EJERCICIO 20</w:t>
      </w:r>
      <w:r>
        <w:rPr>
          <w:sz w:val="32"/>
          <w:szCs w:val="32"/>
        </w:rPr>
        <w:t>24</w:t>
      </w:r>
    </w:p>
    <w:p w14:paraId="46BCD2C3" w14:textId="77777777" w:rsidR="00665980" w:rsidRPr="00F609EC" w:rsidRDefault="00665980" w:rsidP="00665980">
      <w:pPr>
        <w:rPr>
          <w:rFonts w:ascii="Arial" w:hAnsi="Arial" w:cs="Arial"/>
          <w:sz w:val="32"/>
          <w:szCs w:val="32"/>
        </w:rPr>
      </w:pPr>
    </w:p>
    <w:p w14:paraId="54EE4F31" w14:textId="77777777" w:rsidR="00665980" w:rsidRPr="00F609EC" w:rsidRDefault="00665980" w:rsidP="00665980">
      <w:pPr>
        <w:rPr>
          <w:rFonts w:ascii="Arial" w:hAnsi="Arial" w:cs="Arial"/>
          <w:color w:val="FFFFFF"/>
          <w:sz w:val="32"/>
          <w:szCs w:val="32"/>
        </w:rPr>
      </w:pPr>
      <w:r w:rsidRPr="00F609EC">
        <w:rPr>
          <w:rFonts w:ascii="Arial" w:hAnsi="Arial" w:cs="Arial"/>
          <w:sz w:val="32"/>
          <w:szCs w:val="32"/>
        </w:rPr>
        <w:t xml:space="preserve">         </w:t>
      </w:r>
    </w:p>
    <w:p w14:paraId="5560E829" w14:textId="46D13A0A" w:rsidR="00665980" w:rsidRPr="00F609EC" w:rsidRDefault="00665980" w:rsidP="00665980">
      <w:pPr>
        <w:pStyle w:val="Ttulo1"/>
        <w:jc w:val="center"/>
        <w:rPr>
          <w:rFonts w:cs="Arial"/>
          <w:color w:val="FFFFFF"/>
          <w:sz w:val="32"/>
          <w:szCs w:val="32"/>
        </w:rPr>
      </w:pPr>
      <w:r>
        <w:rPr>
          <w:rFonts w:cs="Arial"/>
          <w:sz w:val="32"/>
          <w:szCs w:val="32"/>
        </w:rPr>
        <w:t>Entidad Federativa</w:t>
      </w:r>
      <w:r w:rsidRPr="00F609EC">
        <w:rPr>
          <w:rFonts w:cs="Arial"/>
          <w:sz w:val="32"/>
          <w:szCs w:val="32"/>
        </w:rPr>
        <w:t>:</w:t>
      </w:r>
      <w:r w:rsidR="00400E19">
        <w:rPr>
          <w:rFonts w:cs="Arial"/>
          <w:sz w:val="32"/>
          <w:szCs w:val="32"/>
        </w:rPr>
        <w:t xml:space="preserve"> Veracruz, Ver.</w:t>
      </w:r>
    </w:p>
    <w:p w14:paraId="01B7532D" w14:textId="77777777" w:rsidR="00665980" w:rsidRPr="00F609EC" w:rsidRDefault="00665980" w:rsidP="00665980">
      <w:pPr>
        <w:jc w:val="both"/>
        <w:rPr>
          <w:rFonts w:ascii="Arial" w:hAnsi="Arial" w:cs="Arial"/>
          <w:sz w:val="32"/>
          <w:szCs w:val="32"/>
        </w:rPr>
      </w:pPr>
      <w:r>
        <w:rPr>
          <w:rFonts w:cs="Arial"/>
          <w:noProof/>
          <w:sz w:val="32"/>
          <w:szCs w:val="32"/>
          <w:lang w:eastAsia="es-MX"/>
        </w:rPr>
        <mc:AlternateContent>
          <mc:Choice Requires="wps">
            <w:drawing>
              <wp:anchor distT="0" distB="0" distL="114300" distR="114300" simplePos="0" relativeHeight="251659264" behindDoc="0" locked="0" layoutInCell="1" allowOverlap="1" wp14:anchorId="7A50EB31" wp14:editId="040ECCBE">
                <wp:simplePos x="0" y="0"/>
                <wp:positionH relativeFrom="column">
                  <wp:posOffset>3009900</wp:posOffset>
                </wp:positionH>
                <wp:positionV relativeFrom="paragraph">
                  <wp:posOffset>43180</wp:posOffset>
                </wp:positionV>
                <wp:extent cx="1714500" cy="0"/>
                <wp:effectExtent l="9525" t="5080"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B87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4pt" to="3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"/>
            </w:pict>
          </mc:Fallback>
        </mc:AlternateContent>
      </w:r>
    </w:p>
    <w:p w14:paraId="70FE967F" w14:textId="77777777" w:rsidR="00665980" w:rsidRPr="001C4087" w:rsidRDefault="00665980" w:rsidP="00665980">
      <w:pPr>
        <w:jc w:val="both"/>
        <w:rPr>
          <w:rFonts w:ascii="Arial" w:hAnsi="Arial" w:cs="Arial"/>
        </w:rPr>
      </w:pPr>
      <w:r w:rsidRPr="001C4087">
        <w:rPr>
          <w:rFonts w:ascii="Arial" w:hAnsi="Arial" w:cs="Arial"/>
        </w:rPr>
        <w:tab/>
      </w:r>
    </w:p>
    <w:p w14:paraId="71E08C55" w14:textId="77777777" w:rsidR="00665980" w:rsidRPr="004B12E4" w:rsidRDefault="00665980" w:rsidP="00665980">
      <w:pPr>
        <w:jc w:val="both"/>
        <w:rPr>
          <w:rFonts w:ascii="Arial" w:hAnsi="Arial" w:cs="Arial"/>
        </w:rPr>
      </w:pPr>
      <w:r w:rsidRPr="004B12E4">
        <w:rPr>
          <w:rFonts w:ascii="Arial" w:hAnsi="Arial" w:cs="Arial"/>
        </w:rPr>
        <w:t>1. Señale los elementos constitutivos vigentes durante el año que se informa del Impuesto Predial, indicando el ordenamiento legal y el número de artículo en el que se establece. (Es necesario que se anexen los ordenamientos legales donde se precisan, en caso de ser diferentes entre los municipios, agrúpelos por similitud y señale las diferencias entre ellos).</w:t>
      </w:r>
    </w:p>
    <w:p w14:paraId="4E7495EF" w14:textId="77777777" w:rsidR="00665980" w:rsidRDefault="00665980" w:rsidP="00665980">
      <w:pPr>
        <w:jc w:val="both"/>
        <w:rPr>
          <w:rFonts w:ascii="Arial" w:hAnsi="Arial" w:cs="Arial"/>
        </w:rPr>
      </w:pPr>
    </w:p>
    <w:p w14:paraId="4438F566" w14:textId="77777777" w:rsidR="00400E19" w:rsidRPr="006540AC" w:rsidRDefault="00400E19" w:rsidP="00400E19">
      <w:pPr>
        <w:jc w:val="both"/>
        <w:rPr>
          <w:rFonts w:ascii="Arial" w:hAnsi="Arial" w:cs="Arial"/>
          <w:b/>
        </w:rPr>
      </w:pPr>
      <w:r w:rsidRPr="006540AC">
        <w:rPr>
          <w:rFonts w:ascii="Arial" w:hAnsi="Arial" w:cs="Arial"/>
          <w:b/>
        </w:rPr>
        <w:t>R= Articulo 113 al 129 del Código numero 543 Hacendario para el Municipio de Veracruz y articulo 5 de Ley de Ingresos para el Municipio de Veracr</w:t>
      </w:r>
      <w:r>
        <w:rPr>
          <w:rFonts w:ascii="Arial" w:hAnsi="Arial" w:cs="Arial"/>
          <w:b/>
        </w:rPr>
        <w:t>uz para el ejercicio fiscal 2023</w:t>
      </w:r>
      <w:r w:rsidRPr="006540AC">
        <w:rPr>
          <w:rFonts w:ascii="Arial" w:hAnsi="Arial" w:cs="Arial"/>
          <w:b/>
        </w:rPr>
        <w:t>.</w:t>
      </w:r>
    </w:p>
    <w:p w14:paraId="67172479" w14:textId="77777777" w:rsidR="00400E19" w:rsidRDefault="00400E19" w:rsidP="00665980">
      <w:pPr>
        <w:jc w:val="both"/>
        <w:rPr>
          <w:rFonts w:ascii="Arial" w:hAnsi="Arial" w:cs="Arial"/>
        </w:rPr>
      </w:pPr>
    </w:p>
    <w:p w14:paraId="7619A0FB" w14:textId="77777777" w:rsidR="00400E19" w:rsidRPr="004B12E4" w:rsidRDefault="00400E19" w:rsidP="00665980">
      <w:pPr>
        <w:jc w:val="both"/>
        <w:rPr>
          <w:rFonts w:ascii="Arial" w:hAnsi="Arial" w:cs="Arial"/>
        </w:rPr>
      </w:pPr>
    </w:p>
    <w:p w14:paraId="69A8D1CE" w14:textId="77777777" w:rsidR="00665980" w:rsidRDefault="00665980" w:rsidP="00665980">
      <w:pPr>
        <w:jc w:val="both"/>
        <w:rPr>
          <w:rFonts w:ascii="Arial" w:hAnsi="Arial" w:cs="Arial"/>
        </w:rPr>
      </w:pPr>
      <w:r w:rsidRPr="004B12E4">
        <w:rPr>
          <w:rFonts w:ascii="Arial" w:hAnsi="Arial" w:cs="Arial"/>
        </w:rPr>
        <w:t>2. Indique si hubo modificaciones en los valores unitarios para inmuebles urbanos y semiurbanos (terreno y construcción) y rústicos, que sirven de base para el cálculo de los impuestos que gravan la propiedad inmobiliaria (en caso de que algún municipio presente variaciones significativas informar a detalle)</w:t>
      </w:r>
      <w:r>
        <w:rPr>
          <w:rFonts w:ascii="Arial" w:hAnsi="Arial" w:cs="Arial"/>
        </w:rPr>
        <w:t>.</w:t>
      </w:r>
    </w:p>
    <w:p w14:paraId="1CF28B82" w14:textId="6549F8B1" w:rsidR="00400E19" w:rsidRPr="006540AC" w:rsidRDefault="00400E19" w:rsidP="00400E19">
      <w:pPr>
        <w:jc w:val="both"/>
        <w:rPr>
          <w:rFonts w:ascii="Arial" w:hAnsi="Arial" w:cs="Arial"/>
          <w:b/>
        </w:rPr>
      </w:pPr>
      <w:r w:rsidRPr="006540AC">
        <w:rPr>
          <w:rFonts w:ascii="Arial" w:hAnsi="Arial" w:cs="Arial"/>
          <w:b/>
        </w:rPr>
        <w:t xml:space="preserve">R= </w:t>
      </w:r>
      <w:r>
        <w:rPr>
          <w:rFonts w:ascii="Arial" w:hAnsi="Arial" w:cs="Arial"/>
          <w:b/>
        </w:rPr>
        <w:t>Durante el ejercicio fiscal 2024</w:t>
      </w:r>
      <w:r w:rsidRPr="006540AC">
        <w:rPr>
          <w:rFonts w:ascii="Arial" w:hAnsi="Arial" w:cs="Arial"/>
          <w:b/>
        </w:rPr>
        <w:t xml:space="preserve"> no se realizaron modificaciones en los valores unitarios para inmuebles urbanos, suburbanos y rústicos en el municipio de Veracruz, estando vigentes los valores autorizados por la legislatura </w:t>
      </w:r>
      <w:r>
        <w:rPr>
          <w:rFonts w:ascii="Arial" w:hAnsi="Arial" w:cs="Arial"/>
          <w:b/>
        </w:rPr>
        <w:t>para el ejercicio 2020</w:t>
      </w:r>
      <w:r w:rsidRPr="006540AC">
        <w:rPr>
          <w:rFonts w:ascii="Arial" w:hAnsi="Arial" w:cs="Arial"/>
          <w:b/>
        </w:rPr>
        <w:t>.</w:t>
      </w:r>
      <w:r>
        <w:rPr>
          <w:rFonts w:ascii="Arial" w:hAnsi="Arial" w:cs="Arial"/>
          <w:b/>
        </w:rPr>
        <w:t xml:space="preserve"> Se anexa dicha Gaceta.</w:t>
      </w:r>
    </w:p>
    <w:p w14:paraId="3E262D4D" w14:textId="77777777" w:rsidR="00400E19" w:rsidRPr="004B12E4" w:rsidRDefault="00400E19" w:rsidP="00665980">
      <w:pPr>
        <w:jc w:val="both"/>
        <w:rPr>
          <w:rFonts w:ascii="Arial" w:hAnsi="Arial" w:cs="Arial"/>
        </w:rPr>
      </w:pPr>
    </w:p>
    <w:p w14:paraId="21DD88C8" w14:textId="77777777" w:rsidR="00665980" w:rsidRPr="004B12E4" w:rsidRDefault="00665980" w:rsidP="00665980">
      <w:pPr>
        <w:jc w:val="both"/>
        <w:rPr>
          <w:rFonts w:ascii="Arial" w:hAnsi="Arial" w:cs="Arial"/>
        </w:rPr>
      </w:pPr>
    </w:p>
    <w:p w14:paraId="4AD522AB" w14:textId="77777777" w:rsidR="00665980" w:rsidRPr="004B12E4" w:rsidRDefault="00665980" w:rsidP="00665980">
      <w:pPr>
        <w:jc w:val="both"/>
        <w:rPr>
          <w:rFonts w:ascii="Arial" w:hAnsi="Arial" w:cs="Arial"/>
        </w:rPr>
      </w:pPr>
    </w:p>
    <w:p w14:paraId="6D9FD4EF" w14:textId="77777777" w:rsidR="00665980" w:rsidRPr="004B12E4" w:rsidRDefault="00665980" w:rsidP="00665980">
      <w:pPr>
        <w:jc w:val="both"/>
        <w:rPr>
          <w:rFonts w:ascii="Arial" w:hAnsi="Arial" w:cs="Arial"/>
        </w:rPr>
      </w:pPr>
      <w:r w:rsidRPr="004B12E4">
        <w:rPr>
          <w:rFonts w:ascii="Arial" w:hAnsi="Arial" w:cs="Arial"/>
        </w:rPr>
        <w:t>3. Mencione los tipos de predios, número de cuentas y el valor de la facturación que existen en el estado:</w:t>
      </w:r>
    </w:p>
    <w:p w14:paraId="27B8B45C" w14:textId="77777777" w:rsidR="00665980" w:rsidRPr="004B12E4" w:rsidRDefault="00665980" w:rsidP="00665980">
      <w:pPr>
        <w:jc w:val="both"/>
        <w:rPr>
          <w:rFonts w:ascii="Arial" w:hAnsi="Arial" w:cs="Arial"/>
        </w:rPr>
      </w:pPr>
    </w:p>
    <w:tbl>
      <w:tblPr>
        <w:tblW w:w="10747" w:type="dxa"/>
        <w:tblInd w:w="-746" w:type="dxa"/>
        <w:tblCellMar>
          <w:left w:w="70" w:type="dxa"/>
          <w:right w:w="70" w:type="dxa"/>
        </w:tblCellMar>
        <w:tblLook w:val="04A0" w:firstRow="1" w:lastRow="0" w:firstColumn="1" w:lastColumn="0" w:noHBand="0" w:noVBand="1"/>
      </w:tblPr>
      <w:tblGrid>
        <w:gridCol w:w="907"/>
        <w:gridCol w:w="1003"/>
        <w:gridCol w:w="907"/>
        <w:gridCol w:w="907"/>
        <w:gridCol w:w="907"/>
        <w:gridCol w:w="855"/>
        <w:gridCol w:w="1492"/>
        <w:gridCol w:w="1560"/>
        <w:gridCol w:w="1075"/>
        <w:gridCol w:w="1134"/>
      </w:tblGrid>
      <w:tr w:rsidR="00665980" w:rsidRPr="005C1FB2" w14:paraId="06B0086E" w14:textId="77777777" w:rsidTr="009B1AAB">
        <w:trPr>
          <w:trHeight w:val="302"/>
        </w:trPr>
        <w:tc>
          <w:tcPr>
            <w:tcW w:w="90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3EBF7AC"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Ref.</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E8981E9"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Tipo</w:t>
            </w:r>
          </w:p>
        </w:tc>
        <w:tc>
          <w:tcPr>
            <w:tcW w:w="3576" w:type="dxa"/>
            <w:gridSpan w:val="4"/>
            <w:tcBorders>
              <w:top w:val="single" w:sz="4" w:space="0" w:color="auto"/>
              <w:left w:val="nil"/>
              <w:bottom w:val="single" w:sz="4" w:space="0" w:color="auto"/>
              <w:right w:val="single" w:sz="4" w:space="0" w:color="auto"/>
            </w:tcBorders>
            <w:shd w:val="clear" w:color="000000" w:fill="A6A6A6"/>
            <w:vAlign w:val="center"/>
            <w:hideMark/>
          </w:tcPr>
          <w:p w14:paraId="3C49AE5F"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Número de Cuentas</w:t>
            </w:r>
          </w:p>
        </w:tc>
        <w:tc>
          <w:tcPr>
            <w:tcW w:w="5261" w:type="dxa"/>
            <w:gridSpan w:val="4"/>
            <w:tcBorders>
              <w:top w:val="single" w:sz="4" w:space="0" w:color="auto"/>
              <w:left w:val="nil"/>
              <w:bottom w:val="single" w:sz="4" w:space="0" w:color="auto"/>
              <w:right w:val="single" w:sz="4" w:space="0" w:color="auto"/>
            </w:tcBorders>
            <w:shd w:val="clear" w:color="000000" w:fill="A6A6A6"/>
            <w:vAlign w:val="center"/>
            <w:hideMark/>
          </w:tcPr>
          <w:p w14:paraId="71B34D79"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Valor de Facturación</w:t>
            </w:r>
          </w:p>
        </w:tc>
      </w:tr>
      <w:tr w:rsidR="00665980" w:rsidRPr="005C1FB2" w14:paraId="01A557E5" w14:textId="77777777" w:rsidTr="009B1AAB">
        <w:trPr>
          <w:trHeight w:val="647"/>
        </w:trPr>
        <w:tc>
          <w:tcPr>
            <w:tcW w:w="907" w:type="dxa"/>
            <w:vMerge/>
            <w:tcBorders>
              <w:top w:val="single" w:sz="4" w:space="0" w:color="auto"/>
              <w:left w:val="single" w:sz="4" w:space="0" w:color="auto"/>
              <w:bottom w:val="single" w:sz="4" w:space="0" w:color="auto"/>
              <w:right w:val="single" w:sz="4" w:space="0" w:color="auto"/>
            </w:tcBorders>
            <w:vAlign w:val="center"/>
            <w:hideMark/>
          </w:tcPr>
          <w:p w14:paraId="2A4025F9"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79FD9C44"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907" w:type="dxa"/>
            <w:tcBorders>
              <w:top w:val="nil"/>
              <w:left w:val="nil"/>
              <w:bottom w:val="single" w:sz="4" w:space="0" w:color="auto"/>
              <w:right w:val="single" w:sz="4" w:space="0" w:color="auto"/>
            </w:tcBorders>
            <w:shd w:val="clear" w:color="000000" w:fill="A6A6A6"/>
            <w:vAlign w:val="center"/>
            <w:hideMark/>
          </w:tcPr>
          <w:p w14:paraId="7DE276B1" w14:textId="77777777" w:rsidR="00665980"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que informa</w:t>
            </w:r>
          </w:p>
          <w:p w14:paraId="1160E29A" w14:textId="463184B1" w:rsidR="00400E19" w:rsidRPr="005C1FB2" w:rsidRDefault="00400E19" w:rsidP="004740DC">
            <w:pPr>
              <w:ind w:right="0"/>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2024</w:t>
            </w:r>
          </w:p>
        </w:tc>
        <w:tc>
          <w:tcPr>
            <w:tcW w:w="907" w:type="dxa"/>
            <w:tcBorders>
              <w:top w:val="nil"/>
              <w:left w:val="nil"/>
              <w:bottom w:val="single" w:sz="4" w:space="0" w:color="auto"/>
              <w:right w:val="single" w:sz="4" w:space="0" w:color="auto"/>
            </w:tcBorders>
            <w:shd w:val="clear" w:color="000000" w:fill="A6A6A6"/>
            <w:vAlign w:val="center"/>
            <w:hideMark/>
          </w:tcPr>
          <w:p w14:paraId="78EBEFA0" w14:textId="77777777" w:rsidR="00665980"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anterior al que informa</w:t>
            </w:r>
          </w:p>
          <w:p w14:paraId="4CE1F833" w14:textId="52992E2D" w:rsidR="00400E19" w:rsidRPr="005C1FB2" w:rsidRDefault="00400E19" w:rsidP="004740DC">
            <w:pPr>
              <w:ind w:right="0"/>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2023</w:t>
            </w:r>
          </w:p>
        </w:tc>
        <w:tc>
          <w:tcPr>
            <w:tcW w:w="907" w:type="dxa"/>
            <w:tcBorders>
              <w:top w:val="nil"/>
              <w:left w:val="nil"/>
              <w:bottom w:val="single" w:sz="4" w:space="0" w:color="auto"/>
              <w:right w:val="single" w:sz="4" w:space="0" w:color="auto"/>
            </w:tcBorders>
            <w:shd w:val="clear" w:color="000000" w:fill="A6A6A6"/>
            <w:vAlign w:val="center"/>
            <w:hideMark/>
          </w:tcPr>
          <w:p w14:paraId="13FB9698"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Abs.</w:t>
            </w:r>
          </w:p>
        </w:tc>
        <w:tc>
          <w:tcPr>
            <w:tcW w:w="855" w:type="dxa"/>
            <w:tcBorders>
              <w:top w:val="nil"/>
              <w:left w:val="nil"/>
              <w:bottom w:val="single" w:sz="4" w:space="0" w:color="auto"/>
              <w:right w:val="single" w:sz="4" w:space="0" w:color="auto"/>
            </w:tcBorders>
            <w:shd w:val="clear" w:color="000000" w:fill="A6A6A6"/>
            <w:vAlign w:val="center"/>
            <w:hideMark/>
          </w:tcPr>
          <w:p w14:paraId="35CD056F"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Rel.</w:t>
            </w:r>
          </w:p>
        </w:tc>
        <w:tc>
          <w:tcPr>
            <w:tcW w:w="1492" w:type="dxa"/>
            <w:tcBorders>
              <w:top w:val="nil"/>
              <w:left w:val="nil"/>
              <w:bottom w:val="single" w:sz="4" w:space="0" w:color="auto"/>
              <w:right w:val="single" w:sz="4" w:space="0" w:color="auto"/>
            </w:tcBorders>
            <w:shd w:val="clear" w:color="000000" w:fill="A6A6A6"/>
            <w:vAlign w:val="center"/>
            <w:hideMark/>
          </w:tcPr>
          <w:p w14:paraId="15755725" w14:textId="77777777" w:rsidR="00665980"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que se informa</w:t>
            </w:r>
          </w:p>
          <w:p w14:paraId="1556405A" w14:textId="1A91A3DF" w:rsidR="00400E19" w:rsidRPr="005C1FB2" w:rsidRDefault="00400E19" w:rsidP="004740DC">
            <w:pPr>
              <w:ind w:right="0"/>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2024</w:t>
            </w:r>
          </w:p>
        </w:tc>
        <w:tc>
          <w:tcPr>
            <w:tcW w:w="1560" w:type="dxa"/>
            <w:tcBorders>
              <w:top w:val="nil"/>
              <w:left w:val="nil"/>
              <w:bottom w:val="single" w:sz="4" w:space="0" w:color="auto"/>
              <w:right w:val="single" w:sz="4" w:space="0" w:color="auto"/>
            </w:tcBorders>
            <w:shd w:val="clear" w:color="000000" w:fill="A6A6A6"/>
            <w:vAlign w:val="center"/>
            <w:hideMark/>
          </w:tcPr>
          <w:p w14:paraId="55AD83EC" w14:textId="77777777" w:rsidR="00665980"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anterior al que se informa</w:t>
            </w:r>
          </w:p>
          <w:p w14:paraId="28EF8C0C" w14:textId="294FD8F8" w:rsidR="00400E19" w:rsidRPr="005C1FB2" w:rsidRDefault="00400E19" w:rsidP="004740DC">
            <w:pPr>
              <w:ind w:right="0"/>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2023</w:t>
            </w:r>
          </w:p>
        </w:tc>
        <w:tc>
          <w:tcPr>
            <w:tcW w:w="1075" w:type="dxa"/>
            <w:tcBorders>
              <w:top w:val="nil"/>
              <w:left w:val="nil"/>
              <w:bottom w:val="single" w:sz="4" w:space="0" w:color="auto"/>
              <w:right w:val="single" w:sz="4" w:space="0" w:color="auto"/>
            </w:tcBorders>
            <w:shd w:val="clear" w:color="000000" w:fill="A6A6A6"/>
            <w:vAlign w:val="center"/>
            <w:hideMark/>
          </w:tcPr>
          <w:p w14:paraId="08DC698D"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Abs.</w:t>
            </w:r>
          </w:p>
        </w:tc>
        <w:tc>
          <w:tcPr>
            <w:tcW w:w="1134" w:type="dxa"/>
            <w:tcBorders>
              <w:top w:val="nil"/>
              <w:left w:val="nil"/>
              <w:bottom w:val="single" w:sz="4" w:space="0" w:color="auto"/>
              <w:right w:val="single" w:sz="4" w:space="0" w:color="auto"/>
            </w:tcBorders>
            <w:shd w:val="clear" w:color="000000" w:fill="A6A6A6"/>
            <w:vAlign w:val="center"/>
            <w:hideMark/>
          </w:tcPr>
          <w:p w14:paraId="0AC9FAC0"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Rel.</w:t>
            </w:r>
          </w:p>
        </w:tc>
      </w:tr>
      <w:tr w:rsidR="009B1AAB" w:rsidRPr="005C1FB2" w14:paraId="745EA67E" w14:textId="77777777" w:rsidTr="009B1AAB">
        <w:trPr>
          <w:trHeight w:val="288"/>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F298BE3" w14:textId="77777777" w:rsidR="009B1AAB" w:rsidRPr="005C1FB2" w:rsidRDefault="009B1AAB" w:rsidP="009B1AAB">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1</w:t>
            </w:r>
          </w:p>
        </w:tc>
        <w:tc>
          <w:tcPr>
            <w:tcW w:w="1003" w:type="dxa"/>
            <w:tcBorders>
              <w:top w:val="nil"/>
              <w:left w:val="nil"/>
              <w:bottom w:val="single" w:sz="4" w:space="0" w:color="auto"/>
              <w:right w:val="single" w:sz="4" w:space="0" w:color="auto"/>
            </w:tcBorders>
            <w:shd w:val="clear" w:color="auto" w:fill="auto"/>
            <w:noWrap/>
            <w:vAlign w:val="center"/>
            <w:hideMark/>
          </w:tcPr>
          <w:p w14:paraId="37E856F0" w14:textId="77777777" w:rsidR="009B1AAB" w:rsidRPr="005C1FB2" w:rsidRDefault="009B1AAB" w:rsidP="009B1AAB">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Urbano</w:t>
            </w:r>
          </w:p>
        </w:tc>
        <w:tc>
          <w:tcPr>
            <w:tcW w:w="907" w:type="dxa"/>
            <w:tcBorders>
              <w:top w:val="nil"/>
              <w:left w:val="nil"/>
              <w:bottom w:val="single" w:sz="4" w:space="0" w:color="auto"/>
              <w:right w:val="single" w:sz="4" w:space="0" w:color="auto"/>
            </w:tcBorders>
            <w:shd w:val="clear" w:color="auto" w:fill="auto"/>
            <w:noWrap/>
            <w:vAlign w:val="center"/>
            <w:hideMark/>
          </w:tcPr>
          <w:p w14:paraId="675C0176" w14:textId="33A7A708"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272,600</w:t>
            </w:r>
            <w:r w:rsidRPr="005C1FB2">
              <w:rPr>
                <w:rFonts w:ascii="Arial" w:eastAsia="Times New Roman" w:hAnsi="Arial" w:cs="Arial"/>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noWrap/>
            <w:vAlign w:val="center"/>
            <w:hideMark/>
          </w:tcPr>
          <w:p w14:paraId="4FB1089F" w14:textId="00B465DE"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270,009</w:t>
            </w:r>
            <w:r w:rsidRPr="005C1FB2">
              <w:rPr>
                <w:rFonts w:ascii="Arial" w:eastAsia="Times New Roman" w:hAnsi="Arial" w:cs="Arial"/>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noWrap/>
            <w:vAlign w:val="center"/>
            <w:hideMark/>
          </w:tcPr>
          <w:p w14:paraId="55A4A629" w14:textId="78EFF964"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2,591</w:t>
            </w: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auto"/>
            <w:noWrap/>
            <w:vAlign w:val="center"/>
            <w:hideMark/>
          </w:tcPr>
          <w:p w14:paraId="28874A0A" w14:textId="7BD6DA9D"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0.96%</w:t>
            </w: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auto"/>
            <w:noWrap/>
            <w:vAlign w:val="center"/>
            <w:hideMark/>
          </w:tcPr>
          <w:p w14:paraId="69301E9F" w14:textId="14239DAB" w:rsidR="009B1AAB" w:rsidRPr="005C1FB2" w:rsidRDefault="009B1AAB" w:rsidP="009B1AAB">
            <w:pPr>
              <w:ind w:right="0"/>
              <w:jc w:val="right"/>
              <w:rPr>
                <w:rFonts w:ascii="Arial" w:eastAsia="Times New Roman" w:hAnsi="Arial" w:cs="Arial"/>
                <w:color w:val="000000"/>
                <w:sz w:val="16"/>
                <w:szCs w:val="16"/>
                <w:lang w:eastAsia="es-MX"/>
              </w:rPr>
            </w:pPr>
            <w:r w:rsidRPr="00947E16">
              <w:rPr>
                <w:rFonts w:ascii="Arial" w:eastAsia="Times New Roman" w:hAnsi="Arial" w:cs="Arial"/>
                <w:color w:val="000000"/>
                <w:sz w:val="16"/>
                <w:szCs w:val="16"/>
                <w:lang w:eastAsia="es-MX"/>
              </w:rPr>
              <w:t>230,320,995.52</w:t>
            </w:r>
          </w:p>
        </w:tc>
        <w:tc>
          <w:tcPr>
            <w:tcW w:w="1560" w:type="dxa"/>
            <w:tcBorders>
              <w:top w:val="nil"/>
              <w:left w:val="nil"/>
              <w:bottom w:val="single" w:sz="4" w:space="0" w:color="auto"/>
              <w:right w:val="single" w:sz="4" w:space="0" w:color="auto"/>
            </w:tcBorders>
            <w:shd w:val="clear" w:color="auto" w:fill="auto"/>
            <w:noWrap/>
            <w:vAlign w:val="center"/>
            <w:hideMark/>
          </w:tcPr>
          <w:p w14:paraId="7613B46B" w14:textId="60B924EF"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227,178,443.11</w:t>
            </w:r>
            <w:r w:rsidRPr="005C1FB2">
              <w:rPr>
                <w:rFonts w:ascii="Arial" w:eastAsia="Times New Roman" w:hAnsi="Arial" w:cs="Arial"/>
                <w:color w:val="000000"/>
                <w:sz w:val="16"/>
                <w:szCs w:val="16"/>
                <w:lang w:eastAsia="es-MX"/>
              </w:rPr>
              <w:t> </w:t>
            </w:r>
          </w:p>
        </w:tc>
        <w:tc>
          <w:tcPr>
            <w:tcW w:w="1075" w:type="dxa"/>
            <w:tcBorders>
              <w:top w:val="nil"/>
              <w:left w:val="nil"/>
              <w:bottom w:val="single" w:sz="4" w:space="0" w:color="auto"/>
              <w:right w:val="single" w:sz="4" w:space="0" w:color="auto"/>
            </w:tcBorders>
            <w:shd w:val="clear" w:color="auto" w:fill="auto"/>
            <w:noWrap/>
            <w:hideMark/>
          </w:tcPr>
          <w:p w14:paraId="6CFD53F8" w14:textId="31DCD0FC"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3,142,552.41</w:t>
            </w:r>
          </w:p>
        </w:tc>
        <w:tc>
          <w:tcPr>
            <w:tcW w:w="1134" w:type="dxa"/>
            <w:tcBorders>
              <w:top w:val="nil"/>
              <w:left w:val="nil"/>
              <w:bottom w:val="single" w:sz="4" w:space="0" w:color="auto"/>
              <w:right w:val="single" w:sz="4" w:space="0" w:color="auto"/>
            </w:tcBorders>
            <w:shd w:val="clear" w:color="auto" w:fill="auto"/>
            <w:noWrap/>
            <w:hideMark/>
          </w:tcPr>
          <w:p w14:paraId="4D8B4EE6" w14:textId="26943F44"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1.38</w:t>
            </w:r>
            <w:r>
              <w:rPr>
                <w:rFonts w:ascii="Arial" w:eastAsia="Times New Roman" w:hAnsi="Arial" w:cs="Arial"/>
                <w:color w:val="000000"/>
                <w:sz w:val="16"/>
                <w:szCs w:val="16"/>
                <w:lang w:eastAsia="es-MX"/>
              </w:rPr>
              <w:t>%</w:t>
            </w:r>
          </w:p>
        </w:tc>
      </w:tr>
      <w:tr w:rsidR="009B1AAB" w:rsidRPr="005C1FB2" w14:paraId="150AF9E5" w14:textId="77777777" w:rsidTr="009B1AAB">
        <w:trPr>
          <w:trHeight w:val="36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E2620EA" w14:textId="77777777" w:rsidR="009B1AAB" w:rsidRPr="005C1FB2" w:rsidRDefault="009B1AAB" w:rsidP="009B1AAB">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2</w:t>
            </w:r>
          </w:p>
        </w:tc>
        <w:tc>
          <w:tcPr>
            <w:tcW w:w="1003" w:type="dxa"/>
            <w:tcBorders>
              <w:top w:val="nil"/>
              <w:left w:val="nil"/>
              <w:bottom w:val="single" w:sz="4" w:space="0" w:color="auto"/>
              <w:right w:val="single" w:sz="4" w:space="0" w:color="auto"/>
            </w:tcBorders>
            <w:shd w:val="clear" w:color="auto" w:fill="auto"/>
            <w:vAlign w:val="center"/>
            <w:hideMark/>
          </w:tcPr>
          <w:p w14:paraId="47C995A3" w14:textId="77777777" w:rsidR="009B1AAB" w:rsidRPr="005C1FB2" w:rsidRDefault="009B1AAB" w:rsidP="009B1AAB">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Semiurbano</w:t>
            </w:r>
          </w:p>
        </w:tc>
        <w:tc>
          <w:tcPr>
            <w:tcW w:w="907" w:type="dxa"/>
            <w:tcBorders>
              <w:top w:val="nil"/>
              <w:left w:val="nil"/>
              <w:bottom w:val="single" w:sz="4" w:space="0" w:color="auto"/>
              <w:right w:val="single" w:sz="4" w:space="0" w:color="auto"/>
            </w:tcBorders>
            <w:shd w:val="clear" w:color="auto" w:fill="auto"/>
            <w:vAlign w:val="center"/>
            <w:hideMark/>
          </w:tcPr>
          <w:p w14:paraId="1B7E65F5" w14:textId="73C85AE2"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6,527</w:t>
            </w:r>
            <w:r w:rsidRPr="005C1FB2">
              <w:rPr>
                <w:rFonts w:ascii="Arial" w:eastAsia="Times New Roman" w:hAnsi="Arial" w:cs="Arial"/>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vAlign w:val="center"/>
            <w:hideMark/>
          </w:tcPr>
          <w:p w14:paraId="5B1A3661" w14:textId="646746B1"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6,449</w:t>
            </w:r>
          </w:p>
        </w:tc>
        <w:tc>
          <w:tcPr>
            <w:tcW w:w="907" w:type="dxa"/>
            <w:tcBorders>
              <w:top w:val="nil"/>
              <w:left w:val="nil"/>
              <w:bottom w:val="single" w:sz="4" w:space="0" w:color="auto"/>
              <w:right w:val="single" w:sz="4" w:space="0" w:color="auto"/>
            </w:tcBorders>
            <w:shd w:val="clear" w:color="auto" w:fill="auto"/>
            <w:vAlign w:val="center"/>
            <w:hideMark/>
          </w:tcPr>
          <w:p w14:paraId="17A500EE" w14:textId="0024750E"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78</w:t>
            </w: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auto"/>
            <w:vAlign w:val="center"/>
            <w:hideMark/>
          </w:tcPr>
          <w:p w14:paraId="30216E33" w14:textId="7D71E4E0"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1.21%</w:t>
            </w: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auto"/>
            <w:vAlign w:val="center"/>
            <w:hideMark/>
          </w:tcPr>
          <w:p w14:paraId="0D8D55CD" w14:textId="6594B303" w:rsidR="009B1AAB" w:rsidRPr="005C1FB2" w:rsidRDefault="009B1AAB" w:rsidP="009B1AAB">
            <w:pPr>
              <w:ind w:right="0"/>
              <w:jc w:val="right"/>
              <w:rPr>
                <w:rFonts w:ascii="Arial" w:eastAsia="Times New Roman" w:hAnsi="Arial" w:cs="Arial"/>
                <w:color w:val="000000"/>
                <w:sz w:val="16"/>
                <w:szCs w:val="16"/>
                <w:lang w:eastAsia="es-MX"/>
              </w:rPr>
            </w:pPr>
            <w:r w:rsidRPr="00947E16">
              <w:rPr>
                <w:rFonts w:ascii="Arial" w:eastAsia="Times New Roman" w:hAnsi="Arial" w:cs="Arial"/>
                <w:color w:val="000000"/>
                <w:sz w:val="16"/>
                <w:szCs w:val="16"/>
                <w:lang w:eastAsia="es-MX"/>
              </w:rPr>
              <w:t>31,420,089.00</w:t>
            </w:r>
          </w:p>
        </w:tc>
        <w:tc>
          <w:tcPr>
            <w:tcW w:w="1560" w:type="dxa"/>
            <w:tcBorders>
              <w:top w:val="nil"/>
              <w:left w:val="nil"/>
              <w:bottom w:val="single" w:sz="4" w:space="0" w:color="auto"/>
              <w:right w:val="single" w:sz="4" w:space="0" w:color="auto"/>
            </w:tcBorders>
            <w:shd w:val="clear" w:color="auto" w:fill="auto"/>
            <w:vAlign w:val="center"/>
            <w:hideMark/>
          </w:tcPr>
          <w:p w14:paraId="02214097" w14:textId="3704D609"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31,864,944.79</w:t>
            </w:r>
            <w:r w:rsidRPr="005C1FB2">
              <w:rPr>
                <w:rFonts w:ascii="Arial" w:eastAsia="Times New Roman" w:hAnsi="Arial" w:cs="Arial"/>
                <w:color w:val="000000"/>
                <w:sz w:val="16"/>
                <w:szCs w:val="16"/>
                <w:lang w:eastAsia="es-MX"/>
              </w:rPr>
              <w:t> </w:t>
            </w:r>
          </w:p>
        </w:tc>
        <w:tc>
          <w:tcPr>
            <w:tcW w:w="1075" w:type="dxa"/>
            <w:tcBorders>
              <w:top w:val="nil"/>
              <w:left w:val="nil"/>
              <w:bottom w:val="single" w:sz="4" w:space="0" w:color="auto"/>
              <w:right w:val="single" w:sz="4" w:space="0" w:color="auto"/>
            </w:tcBorders>
            <w:shd w:val="clear" w:color="auto" w:fill="auto"/>
            <w:hideMark/>
          </w:tcPr>
          <w:p w14:paraId="50B78D4A" w14:textId="583B28FC"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-444,855.79</w:t>
            </w:r>
          </w:p>
        </w:tc>
        <w:tc>
          <w:tcPr>
            <w:tcW w:w="1134" w:type="dxa"/>
            <w:tcBorders>
              <w:top w:val="nil"/>
              <w:left w:val="nil"/>
              <w:bottom w:val="single" w:sz="4" w:space="0" w:color="auto"/>
              <w:right w:val="single" w:sz="4" w:space="0" w:color="auto"/>
            </w:tcBorders>
            <w:shd w:val="clear" w:color="auto" w:fill="auto"/>
            <w:hideMark/>
          </w:tcPr>
          <w:p w14:paraId="2CB41EB6" w14:textId="204BC921"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-1.40</w:t>
            </w:r>
            <w:r>
              <w:rPr>
                <w:rFonts w:ascii="Arial" w:eastAsia="Times New Roman" w:hAnsi="Arial" w:cs="Arial"/>
                <w:color w:val="000000"/>
                <w:sz w:val="16"/>
                <w:szCs w:val="16"/>
                <w:lang w:eastAsia="es-MX"/>
              </w:rPr>
              <w:t>%</w:t>
            </w:r>
          </w:p>
        </w:tc>
      </w:tr>
      <w:tr w:rsidR="009B1AAB" w:rsidRPr="005C1FB2" w14:paraId="62B2FE76" w14:textId="77777777" w:rsidTr="009B1AAB">
        <w:trPr>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1218E7F" w14:textId="77777777" w:rsidR="009B1AAB" w:rsidRPr="005C1FB2" w:rsidRDefault="009B1AAB" w:rsidP="009B1AAB">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3</w:t>
            </w:r>
          </w:p>
        </w:tc>
        <w:tc>
          <w:tcPr>
            <w:tcW w:w="1003" w:type="dxa"/>
            <w:tcBorders>
              <w:top w:val="nil"/>
              <w:left w:val="nil"/>
              <w:bottom w:val="single" w:sz="4" w:space="0" w:color="auto"/>
              <w:right w:val="single" w:sz="4" w:space="0" w:color="auto"/>
            </w:tcBorders>
            <w:shd w:val="clear" w:color="auto" w:fill="auto"/>
            <w:vAlign w:val="center"/>
            <w:hideMark/>
          </w:tcPr>
          <w:p w14:paraId="5F6482D7" w14:textId="77777777" w:rsidR="009B1AAB" w:rsidRPr="005C1FB2" w:rsidRDefault="009B1AAB" w:rsidP="009B1AAB">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Rústico</w:t>
            </w:r>
          </w:p>
        </w:tc>
        <w:tc>
          <w:tcPr>
            <w:tcW w:w="907" w:type="dxa"/>
            <w:tcBorders>
              <w:top w:val="nil"/>
              <w:left w:val="nil"/>
              <w:bottom w:val="single" w:sz="4" w:space="0" w:color="auto"/>
              <w:right w:val="single" w:sz="4" w:space="0" w:color="auto"/>
            </w:tcBorders>
            <w:shd w:val="clear" w:color="auto" w:fill="auto"/>
            <w:vAlign w:val="center"/>
            <w:hideMark/>
          </w:tcPr>
          <w:p w14:paraId="2DFC50BE" w14:textId="3CF8A21A"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1,104</w:t>
            </w:r>
            <w:r w:rsidRPr="005C1FB2">
              <w:rPr>
                <w:rFonts w:ascii="Arial" w:eastAsia="Times New Roman" w:hAnsi="Arial" w:cs="Arial"/>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vAlign w:val="center"/>
            <w:hideMark/>
          </w:tcPr>
          <w:p w14:paraId="43B24C4F" w14:textId="23CC1E85"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1,101</w:t>
            </w:r>
          </w:p>
        </w:tc>
        <w:tc>
          <w:tcPr>
            <w:tcW w:w="907" w:type="dxa"/>
            <w:tcBorders>
              <w:top w:val="nil"/>
              <w:left w:val="nil"/>
              <w:bottom w:val="single" w:sz="4" w:space="0" w:color="auto"/>
              <w:right w:val="single" w:sz="4" w:space="0" w:color="auto"/>
            </w:tcBorders>
            <w:shd w:val="clear" w:color="auto" w:fill="auto"/>
            <w:vAlign w:val="center"/>
            <w:hideMark/>
          </w:tcPr>
          <w:p w14:paraId="2A2650E3" w14:textId="11AB4001"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auto"/>
            <w:vAlign w:val="center"/>
            <w:hideMark/>
          </w:tcPr>
          <w:p w14:paraId="1AF9D44E" w14:textId="78A41125"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0.27%</w:t>
            </w: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auto"/>
            <w:vAlign w:val="center"/>
            <w:hideMark/>
          </w:tcPr>
          <w:p w14:paraId="7D5284E1" w14:textId="01B2C66D" w:rsidR="009B1AAB" w:rsidRPr="005C1FB2" w:rsidRDefault="009B1AAB" w:rsidP="009B1AAB">
            <w:pPr>
              <w:ind w:right="0"/>
              <w:jc w:val="right"/>
              <w:rPr>
                <w:rFonts w:ascii="Arial" w:eastAsia="Times New Roman" w:hAnsi="Arial" w:cs="Arial"/>
                <w:color w:val="000000"/>
                <w:sz w:val="16"/>
                <w:szCs w:val="16"/>
                <w:lang w:eastAsia="es-MX"/>
              </w:rPr>
            </w:pPr>
            <w:r w:rsidRPr="00947E16">
              <w:rPr>
                <w:rFonts w:ascii="Arial" w:eastAsia="Times New Roman" w:hAnsi="Arial" w:cs="Arial"/>
                <w:color w:val="000000"/>
                <w:sz w:val="16"/>
                <w:szCs w:val="16"/>
                <w:lang w:eastAsia="es-MX"/>
              </w:rPr>
              <w:t>6,191,993.98</w:t>
            </w:r>
          </w:p>
        </w:tc>
        <w:tc>
          <w:tcPr>
            <w:tcW w:w="1560" w:type="dxa"/>
            <w:tcBorders>
              <w:top w:val="nil"/>
              <w:left w:val="nil"/>
              <w:bottom w:val="single" w:sz="4" w:space="0" w:color="auto"/>
              <w:right w:val="single" w:sz="4" w:space="0" w:color="auto"/>
            </w:tcBorders>
            <w:shd w:val="clear" w:color="auto" w:fill="auto"/>
            <w:vAlign w:val="center"/>
            <w:hideMark/>
          </w:tcPr>
          <w:p w14:paraId="61C0B60E" w14:textId="787BDD84" w:rsidR="009B1AAB" w:rsidRPr="005C1FB2" w:rsidRDefault="009B1AAB" w:rsidP="009B1AAB">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5,833,301.36</w:t>
            </w:r>
          </w:p>
        </w:tc>
        <w:tc>
          <w:tcPr>
            <w:tcW w:w="1075" w:type="dxa"/>
            <w:tcBorders>
              <w:top w:val="nil"/>
              <w:left w:val="nil"/>
              <w:bottom w:val="single" w:sz="4" w:space="0" w:color="auto"/>
              <w:right w:val="single" w:sz="4" w:space="0" w:color="auto"/>
            </w:tcBorders>
            <w:shd w:val="clear" w:color="auto" w:fill="auto"/>
            <w:hideMark/>
          </w:tcPr>
          <w:p w14:paraId="39151CEA" w14:textId="4DB27703"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358,692.62</w:t>
            </w:r>
          </w:p>
        </w:tc>
        <w:tc>
          <w:tcPr>
            <w:tcW w:w="1134" w:type="dxa"/>
            <w:tcBorders>
              <w:top w:val="nil"/>
              <w:left w:val="nil"/>
              <w:bottom w:val="single" w:sz="4" w:space="0" w:color="auto"/>
              <w:right w:val="single" w:sz="4" w:space="0" w:color="auto"/>
            </w:tcBorders>
            <w:shd w:val="clear" w:color="auto" w:fill="auto"/>
            <w:hideMark/>
          </w:tcPr>
          <w:p w14:paraId="7A031113" w14:textId="166FBE06" w:rsidR="009B1AAB" w:rsidRPr="005C1FB2" w:rsidRDefault="009B1AAB" w:rsidP="009B1AAB">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6.15</w:t>
            </w:r>
            <w:r>
              <w:rPr>
                <w:rFonts w:ascii="Arial" w:eastAsia="Times New Roman" w:hAnsi="Arial" w:cs="Arial"/>
                <w:color w:val="000000"/>
                <w:sz w:val="16"/>
                <w:szCs w:val="16"/>
                <w:lang w:eastAsia="es-MX"/>
              </w:rPr>
              <w:t>%</w:t>
            </w:r>
          </w:p>
        </w:tc>
      </w:tr>
      <w:tr w:rsidR="00E67BEA" w:rsidRPr="005C1FB2" w14:paraId="4C8A7B8C" w14:textId="77777777" w:rsidTr="009B1AAB">
        <w:trPr>
          <w:trHeight w:val="288"/>
        </w:trPr>
        <w:tc>
          <w:tcPr>
            <w:tcW w:w="90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7D8D8C0" w14:textId="77777777" w:rsidR="00E67BEA" w:rsidRPr="005C1FB2" w:rsidRDefault="00E67BEA" w:rsidP="00E67BEA">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4</w:t>
            </w:r>
          </w:p>
        </w:tc>
        <w:tc>
          <w:tcPr>
            <w:tcW w:w="1003" w:type="dxa"/>
            <w:tcBorders>
              <w:top w:val="nil"/>
              <w:left w:val="nil"/>
              <w:bottom w:val="single" w:sz="4" w:space="0" w:color="auto"/>
              <w:right w:val="single" w:sz="4" w:space="0" w:color="auto"/>
            </w:tcBorders>
            <w:shd w:val="clear" w:color="auto" w:fill="D0CECE" w:themeFill="background2" w:themeFillShade="E6"/>
            <w:vAlign w:val="center"/>
            <w:hideMark/>
          </w:tcPr>
          <w:p w14:paraId="24FFF619" w14:textId="77777777" w:rsidR="00E67BEA" w:rsidRPr="005C1FB2" w:rsidRDefault="00E67BEA" w:rsidP="00E67BEA">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Agrícola</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0A90E757" w14:textId="53D90291"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7407A84E" w14:textId="7F6070E1"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64D09EE9"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D0CECE" w:themeFill="background2" w:themeFillShade="E6"/>
            <w:vAlign w:val="center"/>
            <w:hideMark/>
          </w:tcPr>
          <w:p w14:paraId="326D441C"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D0CECE" w:themeFill="background2" w:themeFillShade="E6"/>
            <w:vAlign w:val="center"/>
            <w:hideMark/>
          </w:tcPr>
          <w:p w14:paraId="24DABC7E" w14:textId="491E0CE5"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D0CECE" w:themeFill="background2" w:themeFillShade="E6"/>
            <w:vAlign w:val="center"/>
            <w:hideMark/>
          </w:tcPr>
          <w:p w14:paraId="767DEAD6" w14:textId="3F4C1D5A"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075" w:type="dxa"/>
            <w:tcBorders>
              <w:top w:val="nil"/>
              <w:left w:val="nil"/>
              <w:bottom w:val="single" w:sz="4" w:space="0" w:color="auto"/>
              <w:right w:val="single" w:sz="4" w:space="0" w:color="auto"/>
            </w:tcBorders>
            <w:shd w:val="clear" w:color="auto" w:fill="D0CECE" w:themeFill="background2" w:themeFillShade="E6"/>
            <w:vAlign w:val="center"/>
            <w:hideMark/>
          </w:tcPr>
          <w:p w14:paraId="57A7155E"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14:paraId="3FEB9A47"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r>
      <w:tr w:rsidR="00E67BEA" w:rsidRPr="005C1FB2" w14:paraId="070FFD16" w14:textId="77777777" w:rsidTr="009B1AAB">
        <w:trPr>
          <w:trHeight w:val="288"/>
        </w:trPr>
        <w:tc>
          <w:tcPr>
            <w:tcW w:w="90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77B276F5" w14:textId="77777777" w:rsidR="00E67BEA" w:rsidRPr="005C1FB2" w:rsidRDefault="00E67BEA" w:rsidP="00E67BEA">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5</w:t>
            </w:r>
          </w:p>
        </w:tc>
        <w:tc>
          <w:tcPr>
            <w:tcW w:w="1003" w:type="dxa"/>
            <w:tcBorders>
              <w:top w:val="nil"/>
              <w:left w:val="nil"/>
              <w:bottom w:val="single" w:sz="4" w:space="0" w:color="auto"/>
              <w:right w:val="single" w:sz="4" w:space="0" w:color="auto"/>
            </w:tcBorders>
            <w:shd w:val="clear" w:color="auto" w:fill="D0CECE" w:themeFill="background2" w:themeFillShade="E6"/>
            <w:vAlign w:val="center"/>
            <w:hideMark/>
          </w:tcPr>
          <w:p w14:paraId="148A91B0" w14:textId="77777777" w:rsidR="00E67BEA" w:rsidRPr="005C1FB2" w:rsidRDefault="00E67BEA" w:rsidP="00E67BEA">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Ejidal</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2303CA02" w14:textId="4744551C"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636963A0" w14:textId="2C7F7F8B"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5D1FD41B"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D0CECE" w:themeFill="background2" w:themeFillShade="E6"/>
            <w:vAlign w:val="center"/>
            <w:hideMark/>
          </w:tcPr>
          <w:p w14:paraId="2918E7A0"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D0CECE" w:themeFill="background2" w:themeFillShade="E6"/>
            <w:vAlign w:val="center"/>
            <w:hideMark/>
          </w:tcPr>
          <w:p w14:paraId="3B7ABA78" w14:textId="20E17606"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D0CECE" w:themeFill="background2" w:themeFillShade="E6"/>
            <w:vAlign w:val="center"/>
            <w:hideMark/>
          </w:tcPr>
          <w:p w14:paraId="6E506329" w14:textId="628B88FC"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075" w:type="dxa"/>
            <w:tcBorders>
              <w:top w:val="nil"/>
              <w:left w:val="nil"/>
              <w:bottom w:val="single" w:sz="4" w:space="0" w:color="auto"/>
              <w:right w:val="single" w:sz="4" w:space="0" w:color="auto"/>
            </w:tcBorders>
            <w:shd w:val="clear" w:color="auto" w:fill="D0CECE" w:themeFill="background2" w:themeFillShade="E6"/>
            <w:vAlign w:val="center"/>
            <w:hideMark/>
          </w:tcPr>
          <w:p w14:paraId="1CF9065F"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14:paraId="18762256"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r>
      <w:tr w:rsidR="00E67BEA" w:rsidRPr="005C1FB2" w14:paraId="3F5C4F2A" w14:textId="77777777" w:rsidTr="009B1AAB">
        <w:trPr>
          <w:trHeight w:val="288"/>
        </w:trPr>
        <w:tc>
          <w:tcPr>
            <w:tcW w:w="90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B6CDF2E" w14:textId="77777777" w:rsidR="00E67BEA" w:rsidRPr="005C1FB2" w:rsidRDefault="00E67BEA" w:rsidP="00E67BEA">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6</w:t>
            </w:r>
          </w:p>
        </w:tc>
        <w:tc>
          <w:tcPr>
            <w:tcW w:w="1003" w:type="dxa"/>
            <w:tcBorders>
              <w:top w:val="nil"/>
              <w:left w:val="nil"/>
              <w:bottom w:val="single" w:sz="4" w:space="0" w:color="auto"/>
              <w:right w:val="single" w:sz="4" w:space="0" w:color="auto"/>
            </w:tcBorders>
            <w:shd w:val="clear" w:color="auto" w:fill="D0CECE" w:themeFill="background2" w:themeFillShade="E6"/>
            <w:vAlign w:val="center"/>
            <w:hideMark/>
          </w:tcPr>
          <w:p w14:paraId="6ABAA54D" w14:textId="77777777" w:rsidR="00E67BEA" w:rsidRPr="005C1FB2" w:rsidRDefault="00E67BEA" w:rsidP="00E67BEA">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Otro</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156460A7" w14:textId="2381E43F"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46DCACCD" w14:textId="48A5BACD"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907" w:type="dxa"/>
            <w:tcBorders>
              <w:top w:val="nil"/>
              <w:left w:val="nil"/>
              <w:bottom w:val="single" w:sz="4" w:space="0" w:color="auto"/>
              <w:right w:val="single" w:sz="4" w:space="0" w:color="auto"/>
            </w:tcBorders>
            <w:shd w:val="clear" w:color="auto" w:fill="D0CECE" w:themeFill="background2" w:themeFillShade="E6"/>
            <w:vAlign w:val="center"/>
            <w:hideMark/>
          </w:tcPr>
          <w:p w14:paraId="1ADE0EEA"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855" w:type="dxa"/>
            <w:tcBorders>
              <w:top w:val="nil"/>
              <w:left w:val="nil"/>
              <w:bottom w:val="single" w:sz="4" w:space="0" w:color="auto"/>
              <w:right w:val="single" w:sz="4" w:space="0" w:color="auto"/>
            </w:tcBorders>
            <w:shd w:val="clear" w:color="auto" w:fill="D0CECE" w:themeFill="background2" w:themeFillShade="E6"/>
            <w:vAlign w:val="center"/>
            <w:hideMark/>
          </w:tcPr>
          <w:p w14:paraId="53EEE3B3"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D0CECE" w:themeFill="background2" w:themeFillShade="E6"/>
            <w:vAlign w:val="center"/>
            <w:hideMark/>
          </w:tcPr>
          <w:p w14:paraId="0EA228D1" w14:textId="04798CF0"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D0CECE" w:themeFill="background2" w:themeFillShade="E6"/>
            <w:vAlign w:val="center"/>
            <w:hideMark/>
          </w:tcPr>
          <w:p w14:paraId="7E0484C8" w14:textId="5D1B3D9B"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0</w:t>
            </w:r>
          </w:p>
        </w:tc>
        <w:tc>
          <w:tcPr>
            <w:tcW w:w="1075" w:type="dxa"/>
            <w:tcBorders>
              <w:top w:val="nil"/>
              <w:left w:val="nil"/>
              <w:bottom w:val="single" w:sz="4" w:space="0" w:color="auto"/>
              <w:right w:val="single" w:sz="4" w:space="0" w:color="auto"/>
            </w:tcBorders>
            <w:shd w:val="clear" w:color="auto" w:fill="D0CECE" w:themeFill="background2" w:themeFillShade="E6"/>
            <w:vAlign w:val="center"/>
            <w:hideMark/>
          </w:tcPr>
          <w:p w14:paraId="0E66E8F7"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14:paraId="1D040C65" w14:textId="77777777"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r>
      <w:tr w:rsidR="00E67BEA" w:rsidRPr="005C1FB2" w14:paraId="3706C2AA" w14:textId="77777777" w:rsidTr="009B1AAB">
        <w:trPr>
          <w:trHeight w:val="288"/>
        </w:trPr>
        <w:tc>
          <w:tcPr>
            <w:tcW w:w="1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DB3E" w14:textId="77777777" w:rsidR="00E67BEA" w:rsidRPr="005C1FB2" w:rsidRDefault="00E67BEA" w:rsidP="00E67BEA">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Total</w:t>
            </w:r>
          </w:p>
        </w:tc>
        <w:tc>
          <w:tcPr>
            <w:tcW w:w="907" w:type="dxa"/>
            <w:tcBorders>
              <w:top w:val="nil"/>
              <w:left w:val="nil"/>
              <w:bottom w:val="single" w:sz="4" w:space="0" w:color="auto"/>
              <w:right w:val="single" w:sz="4" w:space="0" w:color="auto"/>
            </w:tcBorders>
            <w:shd w:val="clear" w:color="auto" w:fill="auto"/>
            <w:noWrap/>
            <w:vAlign w:val="center"/>
            <w:hideMark/>
          </w:tcPr>
          <w:p w14:paraId="1FC8C353" w14:textId="2ABDFCBE"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sidR="0030387D">
              <w:rPr>
                <w:rFonts w:ascii="Arial" w:eastAsia="Times New Roman" w:hAnsi="Arial" w:cs="Arial"/>
                <w:color w:val="000000"/>
                <w:sz w:val="16"/>
                <w:szCs w:val="16"/>
                <w:lang w:eastAsia="es-MX"/>
              </w:rPr>
              <w:t>280,231</w:t>
            </w:r>
          </w:p>
        </w:tc>
        <w:tc>
          <w:tcPr>
            <w:tcW w:w="907" w:type="dxa"/>
            <w:tcBorders>
              <w:top w:val="nil"/>
              <w:left w:val="nil"/>
              <w:bottom w:val="single" w:sz="4" w:space="0" w:color="auto"/>
              <w:right w:val="single" w:sz="4" w:space="0" w:color="auto"/>
            </w:tcBorders>
            <w:shd w:val="clear" w:color="auto" w:fill="auto"/>
            <w:noWrap/>
            <w:vAlign w:val="center"/>
            <w:hideMark/>
          </w:tcPr>
          <w:p w14:paraId="73FA0CE8" w14:textId="04A1497B" w:rsidR="00E67BEA" w:rsidRPr="005C1FB2" w:rsidRDefault="00E67BEA" w:rsidP="0030387D">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277,559</w:t>
            </w:r>
          </w:p>
        </w:tc>
        <w:tc>
          <w:tcPr>
            <w:tcW w:w="907" w:type="dxa"/>
            <w:tcBorders>
              <w:top w:val="nil"/>
              <w:left w:val="nil"/>
              <w:bottom w:val="single" w:sz="4" w:space="0" w:color="auto"/>
              <w:right w:val="single" w:sz="4" w:space="0" w:color="auto"/>
            </w:tcBorders>
            <w:shd w:val="clear" w:color="auto" w:fill="auto"/>
            <w:noWrap/>
            <w:vAlign w:val="center"/>
            <w:hideMark/>
          </w:tcPr>
          <w:p w14:paraId="5ACE249A" w14:textId="1403E6DD" w:rsidR="00E67BEA" w:rsidRPr="005C1FB2" w:rsidRDefault="0030387D" w:rsidP="0030387D">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2,672</w:t>
            </w:r>
          </w:p>
        </w:tc>
        <w:tc>
          <w:tcPr>
            <w:tcW w:w="855" w:type="dxa"/>
            <w:tcBorders>
              <w:top w:val="nil"/>
              <w:left w:val="nil"/>
              <w:bottom w:val="single" w:sz="4" w:space="0" w:color="auto"/>
              <w:right w:val="single" w:sz="4" w:space="0" w:color="auto"/>
            </w:tcBorders>
            <w:shd w:val="clear" w:color="auto" w:fill="auto"/>
            <w:noWrap/>
            <w:vAlign w:val="center"/>
            <w:hideMark/>
          </w:tcPr>
          <w:p w14:paraId="315F1FC2" w14:textId="0EDFCDF0" w:rsidR="00E67BEA" w:rsidRPr="005C1FB2" w:rsidRDefault="0030387D" w:rsidP="0030387D">
            <w:pPr>
              <w:ind w:right="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0.96%</w:t>
            </w:r>
            <w:r w:rsidR="00E67BEA" w:rsidRPr="005C1FB2">
              <w:rPr>
                <w:rFonts w:ascii="Arial" w:eastAsia="Times New Roman" w:hAnsi="Arial" w:cs="Arial"/>
                <w:color w:val="000000"/>
                <w:sz w:val="16"/>
                <w:szCs w:val="16"/>
                <w:lang w:eastAsia="es-MX"/>
              </w:rPr>
              <w:t> </w:t>
            </w:r>
          </w:p>
        </w:tc>
        <w:tc>
          <w:tcPr>
            <w:tcW w:w="1492" w:type="dxa"/>
            <w:tcBorders>
              <w:top w:val="nil"/>
              <w:left w:val="nil"/>
              <w:bottom w:val="single" w:sz="4" w:space="0" w:color="auto"/>
              <w:right w:val="single" w:sz="4" w:space="0" w:color="auto"/>
            </w:tcBorders>
            <w:shd w:val="clear" w:color="auto" w:fill="auto"/>
            <w:noWrap/>
            <w:vAlign w:val="center"/>
            <w:hideMark/>
          </w:tcPr>
          <w:p w14:paraId="295219F6" w14:textId="69DFFB9D" w:rsidR="00E67BEA" w:rsidRPr="005C1FB2" w:rsidRDefault="00947E16" w:rsidP="009B1AAB">
            <w:pPr>
              <w:ind w:right="0"/>
              <w:jc w:val="right"/>
              <w:rPr>
                <w:rFonts w:ascii="Arial" w:eastAsia="Times New Roman" w:hAnsi="Arial" w:cs="Arial"/>
                <w:color w:val="000000"/>
                <w:sz w:val="16"/>
                <w:szCs w:val="16"/>
                <w:lang w:eastAsia="es-MX"/>
              </w:rPr>
            </w:pPr>
            <w:r w:rsidRPr="00947E16">
              <w:rPr>
                <w:rFonts w:ascii="Arial" w:eastAsia="Times New Roman" w:hAnsi="Arial" w:cs="Arial"/>
                <w:color w:val="000000"/>
                <w:sz w:val="16"/>
                <w:szCs w:val="16"/>
                <w:lang w:eastAsia="es-MX"/>
              </w:rPr>
              <w:t>267,933,078.50</w:t>
            </w:r>
            <w:r w:rsidR="00E67BEA" w:rsidRPr="005C1FB2">
              <w:rPr>
                <w:rFonts w:ascii="Arial" w:eastAsia="Times New Roman" w:hAnsi="Arial" w:cs="Arial"/>
                <w:color w:val="000000"/>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BACCF4" w14:textId="2AB54916" w:rsidR="00E67BEA" w:rsidRPr="005C1FB2" w:rsidRDefault="00E67BEA" w:rsidP="009B1AAB">
            <w:pPr>
              <w:ind w:right="0"/>
              <w:jc w:val="righ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264,876,689.26</w:t>
            </w:r>
          </w:p>
        </w:tc>
        <w:tc>
          <w:tcPr>
            <w:tcW w:w="1075" w:type="dxa"/>
            <w:tcBorders>
              <w:top w:val="nil"/>
              <w:left w:val="nil"/>
              <w:bottom w:val="single" w:sz="4" w:space="0" w:color="auto"/>
              <w:right w:val="single" w:sz="4" w:space="0" w:color="auto"/>
            </w:tcBorders>
            <w:shd w:val="clear" w:color="auto" w:fill="auto"/>
            <w:noWrap/>
            <w:vAlign w:val="center"/>
            <w:hideMark/>
          </w:tcPr>
          <w:p w14:paraId="12559DA3" w14:textId="2618C293" w:rsidR="00E67BEA" w:rsidRPr="005C1FB2" w:rsidRDefault="009B1AAB" w:rsidP="0030387D">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3,056,389.24</w:t>
            </w:r>
          </w:p>
        </w:tc>
        <w:tc>
          <w:tcPr>
            <w:tcW w:w="1134" w:type="dxa"/>
            <w:tcBorders>
              <w:top w:val="nil"/>
              <w:left w:val="nil"/>
              <w:bottom w:val="single" w:sz="4" w:space="0" w:color="auto"/>
              <w:right w:val="single" w:sz="4" w:space="0" w:color="auto"/>
            </w:tcBorders>
            <w:shd w:val="clear" w:color="auto" w:fill="auto"/>
            <w:noWrap/>
            <w:vAlign w:val="center"/>
            <w:hideMark/>
          </w:tcPr>
          <w:p w14:paraId="798D2664" w14:textId="57D9A726" w:rsidR="00E67BEA" w:rsidRPr="005C1FB2" w:rsidRDefault="009B1AAB" w:rsidP="0030387D">
            <w:pPr>
              <w:ind w:right="0"/>
              <w:jc w:val="right"/>
              <w:rPr>
                <w:rFonts w:ascii="Arial" w:eastAsia="Times New Roman" w:hAnsi="Arial" w:cs="Arial"/>
                <w:color w:val="000000"/>
                <w:sz w:val="16"/>
                <w:szCs w:val="16"/>
                <w:lang w:eastAsia="es-MX"/>
              </w:rPr>
            </w:pPr>
            <w:r w:rsidRPr="009B1AAB">
              <w:rPr>
                <w:rFonts w:ascii="Arial" w:eastAsia="Times New Roman" w:hAnsi="Arial" w:cs="Arial"/>
                <w:color w:val="000000"/>
                <w:sz w:val="16"/>
                <w:szCs w:val="16"/>
                <w:lang w:eastAsia="es-MX"/>
              </w:rPr>
              <w:t>1.15</w:t>
            </w:r>
            <w:r>
              <w:rPr>
                <w:rFonts w:ascii="Arial" w:eastAsia="Times New Roman" w:hAnsi="Arial" w:cs="Arial"/>
                <w:color w:val="000000"/>
                <w:sz w:val="16"/>
                <w:szCs w:val="16"/>
                <w:lang w:eastAsia="es-MX"/>
              </w:rPr>
              <w:t>%</w:t>
            </w:r>
            <w:r w:rsidR="00E67BEA" w:rsidRPr="005C1FB2">
              <w:rPr>
                <w:rFonts w:ascii="Arial" w:eastAsia="Times New Roman" w:hAnsi="Arial" w:cs="Arial"/>
                <w:color w:val="000000"/>
                <w:sz w:val="16"/>
                <w:szCs w:val="16"/>
                <w:lang w:eastAsia="es-MX"/>
              </w:rPr>
              <w:t> </w:t>
            </w:r>
          </w:p>
        </w:tc>
      </w:tr>
    </w:tbl>
    <w:p w14:paraId="1966C2CF" w14:textId="77777777" w:rsidR="00665980" w:rsidRDefault="00665980" w:rsidP="00665980">
      <w:pPr>
        <w:jc w:val="both"/>
        <w:rPr>
          <w:rFonts w:ascii="Arial" w:hAnsi="Arial" w:cs="Arial"/>
        </w:rPr>
      </w:pPr>
    </w:p>
    <w:p w14:paraId="164C4AE1" w14:textId="77777777" w:rsidR="00665980" w:rsidRDefault="00665980" w:rsidP="00665980">
      <w:pPr>
        <w:jc w:val="both"/>
        <w:rPr>
          <w:rFonts w:ascii="Arial" w:hAnsi="Arial" w:cs="Arial"/>
        </w:rPr>
      </w:pPr>
    </w:p>
    <w:p w14:paraId="07E15EC0" w14:textId="77777777" w:rsidR="00665980" w:rsidRDefault="00665980" w:rsidP="00665980">
      <w:pPr>
        <w:jc w:val="both"/>
        <w:rPr>
          <w:rFonts w:ascii="Arial" w:hAnsi="Arial" w:cs="Arial"/>
        </w:rPr>
      </w:pPr>
    </w:p>
    <w:p w14:paraId="6BFCAA63" w14:textId="77777777" w:rsidR="00665980" w:rsidRDefault="00665980" w:rsidP="00665980">
      <w:pPr>
        <w:jc w:val="both"/>
        <w:rPr>
          <w:rFonts w:ascii="Arial" w:hAnsi="Arial" w:cs="Arial"/>
        </w:rPr>
      </w:pPr>
      <w:r w:rsidRPr="004B12E4">
        <w:rPr>
          <w:rFonts w:ascii="Arial" w:hAnsi="Arial" w:cs="Arial"/>
        </w:rPr>
        <w:t xml:space="preserve">4. Señale los elementos constitutivos del impuesto predial vigentes en el año que se informa para el caso de inmuebles urbanos edificados, semiurbanos edificados, rústicos y agrícolas (en caso de que exista modificación en algún municipio en cuanto al sujeto o base, informar a detalle de éste): </w:t>
      </w:r>
    </w:p>
    <w:p w14:paraId="717F87D0" w14:textId="77777777" w:rsidR="00E96BB8" w:rsidRDefault="00E96BB8" w:rsidP="00665980">
      <w:pPr>
        <w:jc w:val="both"/>
        <w:rPr>
          <w:rFonts w:ascii="Arial" w:hAnsi="Arial" w:cs="Arial"/>
        </w:rPr>
      </w:pPr>
    </w:p>
    <w:p w14:paraId="48DAFD37" w14:textId="77777777" w:rsidR="00B476D7" w:rsidRDefault="00B476D7" w:rsidP="00B476D7">
      <w:pPr>
        <w:pStyle w:val="Default"/>
        <w:jc w:val="both"/>
        <w:rPr>
          <w:b/>
          <w:sz w:val="22"/>
          <w:szCs w:val="22"/>
        </w:rPr>
      </w:pPr>
      <w:r w:rsidRPr="007E349F">
        <w:rPr>
          <w:b/>
          <w:sz w:val="22"/>
          <w:szCs w:val="22"/>
        </w:rPr>
        <w:t>CÓDIGO HACENDARIO PARA EL M</w:t>
      </w:r>
      <w:r>
        <w:rPr>
          <w:b/>
          <w:sz w:val="22"/>
          <w:szCs w:val="22"/>
        </w:rPr>
        <w:t>UNICIPIO DE VERACRUZ, ESTADO DE VERACRUZ DE IGNACIO DE LA LLAVE:</w:t>
      </w:r>
    </w:p>
    <w:p w14:paraId="14310AB7" w14:textId="77777777" w:rsidR="00B476D7" w:rsidRDefault="00B476D7" w:rsidP="00B476D7">
      <w:pPr>
        <w:pStyle w:val="Default"/>
        <w:jc w:val="both"/>
        <w:rPr>
          <w:b/>
          <w:sz w:val="22"/>
          <w:szCs w:val="22"/>
        </w:rPr>
      </w:pPr>
    </w:p>
    <w:p w14:paraId="3874B8E4" w14:textId="77777777" w:rsidR="00B476D7" w:rsidRPr="00341980" w:rsidRDefault="00B476D7" w:rsidP="00B476D7">
      <w:pPr>
        <w:pStyle w:val="Default"/>
        <w:rPr>
          <w:b/>
          <w:sz w:val="22"/>
          <w:szCs w:val="22"/>
        </w:rPr>
      </w:pPr>
      <w:r w:rsidRPr="00341980">
        <w:rPr>
          <w:b/>
          <w:sz w:val="22"/>
          <w:szCs w:val="22"/>
        </w:rPr>
        <w:t xml:space="preserve">Artículo 114.-Son sujetos del Impuesto Predial: </w:t>
      </w:r>
    </w:p>
    <w:p w14:paraId="70E5D552" w14:textId="77777777" w:rsidR="00B476D7" w:rsidRPr="00341980" w:rsidRDefault="00B476D7" w:rsidP="00B476D7">
      <w:pPr>
        <w:pStyle w:val="Default"/>
        <w:rPr>
          <w:b/>
          <w:sz w:val="22"/>
          <w:szCs w:val="22"/>
        </w:rPr>
      </w:pPr>
      <w:r w:rsidRPr="00341980">
        <w:rPr>
          <w:b/>
          <w:sz w:val="22"/>
          <w:szCs w:val="22"/>
        </w:rPr>
        <w:t xml:space="preserve">I. Los propietarios o poseedores de predios urbanos, suburbanos o rurales; </w:t>
      </w:r>
    </w:p>
    <w:p w14:paraId="3C35AA78" w14:textId="77777777" w:rsidR="00B476D7" w:rsidRPr="00341980" w:rsidRDefault="00B476D7" w:rsidP="00B476D7">
      <w:pPr>
        <w:pStyle w:val="Default"/>
        <w:rPr>
          <w:b/>
          <w:sz w:val="22"/>
          <w:szCs w:val="22"/>
        </w:rPr>
      </w:pPr>
      <w:r w:rsidRPr="00341980">
        <w:rPr>
          <w:b/>
          <w:sz w:val="22"/>
          <w:szCs w:val="22"/>
        </w:rPr>
        <w:t xml:space="preserve">II. Los propietarios o poseedores de predios ejidales o comunales; </w:t>
      </w:r>
    </w:p>
    <w:p w14:paraId="71D984D9" w14:textId="77777777" w:rsidR="00B476D7" w:rsidRPr="00341980" w:rsidRDefault="00B476D7" w:rsidP="00B476D7">
      <w:pPr>
        <w:pStyle w:val="Default"/>
        <w:rPr>
          <w:b/>
          <w:sz w:val="22"/>
          <w:szCs w:val="22"/>
        </w:rPr>
      </w:pPr>
      <w:r w:rsidRPr="00341980">
        <w:rPr>
          <w:b/>
          <w:sz w:val="22"/>
          <w:szCs w:val="22"/>
        </w:rPr>
        <w:t xml:space="preserve">III. Los poseedores que, por cualquier título, tengan la concesión o permiso del uso, goce y destino de bienes de dominio público de la Federación, Estado o Municipio; </w:t>
      </w:r>
    </w:p>
    <w:p w14:paraId="40CA6F12" w14:textId="77777777" w:rsidR="00B476D7" w:rsidRPr="00341980" w:rsidRDefault="00B476D7" w:rsidP="00B476D7">
      <w:pPr>
        <w:pStyle w:val="Default"/>
        <w:rPr>
          <w:b/>
          <w:sz w:val="22"/>
          <w:szCs w:val="22"/>
        </w:rPr>
      </w:pPr>
      <w:r w:rsidRPr="00341980">
        <w:rPr>
          <w:b/>
          <w:sz w:val="22"/>
          <w:szCs w:val="22"/>
        </w:rPr>
        <w:t xml:space="preserve">IV. Los copropietarios y los coposeedores; </w:t>
      </w:r>
    </w:p>
    <w:p w14:paraId="3113D14B" w14:textId="77777777" w:rsidR="00B476D7" w:rsidRPr="00341980" w:rsidRDefault="00B476D7" w:rsidP="00B476D7">
      <w:pPr>
        <w:pStyle w:val="Default"/>
        <w:rPr>
          <w:b/>
          <w:sz w:val="22"/>
          <w:szCs w:val="22"/>
        </w:rPr>
      </w:pPr>
      <w:r w:rsidRPr="00341980">
        <w:rPr>
          <w:b/>
          <w:sz w:val="22"/>
          <w:szCs w:val="22"/>
        </w:rPr>
        <w:t xml:space="preserve">V. Los nudopropietarios, los titulares de certificados de vivienda y de participación inmobiliaria; y </w:t>
      </w:r>
    </w:p>
    <w:p w14:paraId="6050F639" w14:textId="77777777" w:rsidR="00B476D7" w:rsidRDefault="00B476D7" w:rsidP="00B476D7">
      <w:pPr>
        <w:jc w:val="both"/>
        <w:rPr>
          <w:rFonts w:ascii="Arial" w:hAnsi="Arial" w:cs="Arial"/>
          <w:b/>
        </w:rPr>
      </w:pPr>
      <w:r w:rsidRPr="00341980">
        <w:rPr>
          <w:rFonts w:ascii="Arial" w:hAnsi="Arial" w:cs="Arial"/>
          <w:b/>
        </w:rPr>
        <w:t>VI. El fideicomitente y, en su caso, el fiduciario, en tanto no le transmitan la propiedad del predio al fideicomisario o a otras personas, en cumplimiento al contrato de fideicomiso.</w:t>
      </w:r>
    </w:p>
    <w:p w14:paraId="1D02C997" w14:textId="77777777" w:rsidR="00B476D7" w:rsidRDefault="00B476D7" w:rsidP="00B476D7">
      <w:pPr>
        <w:jc w:val="both"/>
        <w:rPr>
          <w:rFonts w:ascii="Arial" w:hAnsi="Arial" w:cs="Arial"/>
          <w:b/>
        </w:rPr>
      </w:pPr>
    </w:p>
    <w:p w14:paraId="0EFC7A61" w14:textId="77777777" w:rsidR="00B476D7" w:rsidRDefault="00B476D7" w:rsidP="00B476D7">
      <w:pPr>
        <w:jc w:val="both"/>
        <w:rPr>
          <w:rFonts w:ascii="Arial" w:hAnsi="Arial" w:cs="Arial"/>
          <w:b/>
        </w:rPr>
      </w:pPr>
      <w:r w:rsidRPr="006E2223">
        <w:rPr>
          <w:rFonts w:ascii="Arial" w:hAnsi="Arial" w:cs="Arial"/>
          <w:b/>
        </w:rPr>
        <w:t>Artículo 116.-Son base del Impuesto Predial, los valores catastrales o catastrales provisionales que se determinen conforme a la Ley de Catastro</w:t>
      </w:r>
      <w:r>
        <w:rPr>
          <w:rFonts w:ascii="Arial" w:hAnsi="Arial" w:cs="Arial"/>
          <w:b/>
        </w:rPr>
        <w:t>…</w:t>
      </w:r>
    </w:p>
    <w:p w14:paraId="06EF8A86" w14:textId="77777777" w:rsidR="00B476D7" w:rsidRDefault="00B476D7" w:rsidP="00B476D7">
      <w:pPr>
        <w:jc w:val="both"/>
        <w:rPr>
          <w:rFonts w:ascii="Arial" w:hAnsi="Arial" w:cs="Arial"/>
          <w:b/>
        </w:rPr>
      </w:pPr>
    </w:p>
    <w:p w14:paraId="2EA1DB65" w14:textId="77777777" w:rsidR="00B476D7" w:rsidRPr="006E2223" w:rsidRDefault="00B476D7" w:rsidP="00B476D7">
      <w:pPr>
        <w:jc w:val="both"/>
        <w:rPr>
          <w:rFonts w:ascii="Arial" w:hAnsi="Arial" w:cs="Arial"/>
          <w:b/>
        </w:rPr>
      </w:pPr>
      <w:r w:rsidRPr="006E2223">
        <w:rPr>
          <w:rFonts w:ascii="Arial" w:hAnsi="Arial" w:cs="Arial"/>
          <w:b/>
        </w:rPr>
        <w:t>Artículo 117.- El impuesto predial se causará anualmente y se liquidará y se pagará conforme a la tasa que sobre la base gravable autorice el Congreso en la Ley de Ingresos del municipio para el ejercicio fiscal de que se trate:</w:t>
      </w:r>
    </w:p>
    <w:p w14:paraId="126A8BAF" w14:textId="77777777" w:rsidR="00B476D7" w:rsidRDefault="00B476D7" w:rsidP="00B476D7">
      <w:pPr>
        <w:jc w:val="both"/>
        <w:rPr>
          <w:rFonts w:ascii="Arial" w:hAnsi="Arial" w:cs="Arial"/>
          <w:b/>
        </w:rPr>
      </w:pPr>
    </w:p>
    <w:p w14:paraId="1C7D71D2" w14:textId="77777777" w:rsidR="00B476D7" w:rsidRPr="006E2223" w:rsidRDefault="00B476D7" w:rsidP="00B476D7">
      <w:pPr>
        <w:jc w:val="both"/>
        <w:rPr>
          <w:rFonts w:ascii="Arial" w:hAnsi="Arial" w:cs="Arial"/>
          <w:b/>
        </w:rPr>
      </w:pPr>
      <w:r w:rsidRPr="006E2223">
        <w:rPr>
          <w:rFonts w:ascii="Arial" w:hAnsi="Arial" w:cs="Arial"/>
          <w:b/>
        </w:rPr>
        <w:t>Artículo 118.-El pago del Impuesto Predial será semestral y se realizará dentro de los meses de enero y julio de cada año, en la Tesorería u oficinas autorizadas.</w:t>
      </w:r>
    </w:p>
    <w:p w14:paraId="79839AEA" w14:textId="77777777" w:rsidR="00B476D7" w:rsidRPr="004B12E4" w:rsidRDefault="00B476D7" w:rsidP="00665980">
      <w:pPr>
        <w:jc w:val="both"/>
        <w:rPr>
          <w:rFonts w:ascii="Arial" w:hAnsi="Arial" w:cs="Arial"/>
        </w:rPr>
      </w:pPr>
    </w:p>
    <w:tbl>
      <w:tblPr>
        <w:tblW w:w="9371" w:type="dxa"/>
        <w:jc w:val="center"/>
        <w:tblCellMar>
          <w:left w:w="70" w:type="dxa"/>
          <w:right w:w="70" w:type="dxa"/>
        </w:tblCellMar>
        <w:tblLook w:val="04A0" w:firstRow="1" w:lastRow="0" w:firstColumn="1" w:lastColumn="0" w:noHBand="0" w:noVBand="1"/>
      </w:tblPr>
      <w:tblGrid>
        <w:gridCol w:w="1131"/>
        <w:gridCol w:w="1651"/>
        <w:gridCol w:w="1201"/>
        <w:gridCol w:w="801"/>
        <w:gridCol w:w="811"/>
        <w:gridCol w:w="801"/>
        <w:gridCol w:w="811"/>
        <w:gridCol w:w="801"/>
        <w:gridCol w:w="811"/>
        <w:gridCol w:w="801"/>
        <w:gridCol w:w="811"/>
        <w:gridCol w:w="781"/>
      </w:tblGrid>
      <w:tr w:rsidR="00B476D7" w:rsidRPr="005C1FB2" w14:paraId="66911968" w14:textId="77777777" w:rsidTr="00C773BB">
        <w:trPr>
          <w:trHeight w:val="271"/>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79BB3E2F"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Municipio</w:t>
            </w:r>
          </w:p>
        </w:tc>
        <w:tc>
          <w:tcPr>
            <w:tcW w:w="69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1F4D7D46"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Sujeto</w:t>
            </w:r>
          </w:p>
        </w:tc>
        <w:tc>
          <w:tcPr>
            <w:tcW w:w="57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7ACBBC12"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Base</w:t>
            </w:r>
          </w:p>
        </w:tc>
        <w:tc>
          <w:tcPr>
            <w:tcW w:w="6448" w:type="dxa"/>
            <w:gridSpan w:val="8"/>
            <w:tcBorders>
              <w:top w:val="single" w:sz="4" w:space="0" w:color="auto"/>
              <w:left w:val="nil"/>
              <w:bottom w:val="single" w:sz="4" w:space="0" w:color="auto"/>
              <w:right w:val="single" w:sz="4" w:space="0" w:color="auto"/>
            </w:tcBorders>
            <w:shd w:val="clear" w:color="000000" w:fill="A6A6A6"/>
            <w:vAlign w:val="center"/>
            <w:hideMark/>
          </w:tcPr>
          <w:p w14:paraId="74FAEFFA"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Tasa</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59D54A52"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Época de pago </w:t>
            </w:r>
          </w:p>
        </w:tc>
      </w:tr>
      <w:tr w:rsidR="00B476D7" w:rsidRPr="005C1FB2" w14:paraId="289B89CD" w14:textId="77777777" w:rsidTr="00C773BB">
        <w:trPr>
          <w:trHeight w:val="271"/>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6788A104"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7F96086A"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39CDD547"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287BC78E"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Urbanos Edificados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2FA3665B"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Semiurbanos Edificados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2A9A8DBF"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Rústicos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063CA651" w14:textId="77777777" w:rsidR="00B476D7" w:rsidRPr="005C1FB2"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Agrícolas</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5FC5214E" w14:textId="77777777" w:rsidR="00B476D7" w:rsidRPr="005C1FB2" w:rsidRDefault="00B476D7" w:rsidP="00C773BB">
            <w:pPr>
              <w:ind w:right="0"/>
              <w:jc w:val="left"/>
              <w:rPr>
                <w:rFonts w:ascii="Arial" w:eastAsia="Times New Roman" w:hAnsi="Arial" w:cs="Arial"/>
                <w:b/>
                <w:bCs/>
                <w:color w:val="FFFFFF"/>
                <w:sz w:val="18"/>
                <w:szCs w:val="18"/>
                <w:lang w:eastAsia="es-MX"/>
              </w:rPr>
            </w:pPr>
          </w:p>
        </w:tc>
      </w:tr>
      <w:tr w:rsidR="00B476D7" w:rsidRPr="005C1FB2" w14:paraId="767DEAE5" w14:textId="77777777" w:rsidTr="00C773BB">
        <w:trPr>
          <w:trHeight w:val="543"/>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7202367E"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59F16261"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1C57FE94" w14:textId="77777777" w:rsidR="00B476D7" w:rsidRPr="005C1FB2" w:rsidRDefault="00B476D7" w:rsidP="00C773BB">
            <w:pPr>
              <w:ind w:right="0"/>
              <w:jc w:val="left"/>
              <w:rPr>
                <w:rFonts w:ascii="Arial" w:eastAsia="Times New Roman" w:hAnsi="Arial" w:cs="Arial"/>
                <w:b/>
                <w:bCs/>
                <w:color w:val="FFFFFF"/>
                <w:sz w:val="18"/>
                <w:szCs w:val="18"/>
                <w:lang w:eastAsia="es-MX"/>
              </w:rPr>
            </w:pPr>
          </w:p>
        </w:tc>
        <w:tc>
          <w:tcPr>
            <w:tcW w:w="801" w:type="dxa"/>
            <w:tcBorders>
              <w:top w:val="nil"/>
              <w:left w:val="nil"/>
              <w:bottom w:val="single" w:sz="4" w:space="0" w:color="auto"/>
              <w:right w:val="single" w:sz="4" w:space="0" w:color="auto"/>
            </w:tcBorders>
            <w:shd w:val="clear" w:color="000000" w:fill="A6A6A6"/>
            <w:vAlign w:val="center"/>
            <w:hideMark/>
          </w:tcPr>
          <w:p w14:paraId="76CE3759"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p w14:paraId="602E4B63" w14:textId="1D3D355C"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4</w:t>
            </w:r>
          </w:p>
        </w:tc>
        <w:tc>
          <w:tcPr>
            <w:tcW w:w="811" w:type="dxa"/>
            <w:tcBorders>
              <w:top w:val="nil"/>
              <w:left w:val="nil"/>
              <w:bottom w:val="single" w:sz="4" w:space="0" w:color="auto"/>
              <w:right w:val="single" w:sz="4" w:space="0" w:color="auto"/>
            </w:tcBorders>
            <w:shd w:val="clear" w:color="000000" w:fill="A6A6A6"/>
            <w:vAlign w:val="center"/>
            <w:hideMark/>
          </w:tcPr>
          <w:p w14:paraId="6B0F111E"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p w14:paraId="3C10AB47" w14:textId="16B2E0B3"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3</w:t>
            </w:r>
          </w:p>
        </w:tc>
        <w:tc>
          <w:tcPr>
            <w:tcW w:w="801" w:type="dxa"/>
            <w:tcBorders>
              <w:top w:val="nil"/>
              <w:left w:val="nil"/>
              <w:bottom w:val="single" w:sz="4" w:space="0" w:color="auto"/>
              <w:right w:val="single" w:sz="4" w:space="0" w:color="auto"/>
            </w:tcBorders>
            <w:shd w:val="clear" w:color="000000" w:fill="A6A6A6"/>
            <w:vAlign w:val="center"/>
            <w:hideMark/>
          </w:tcPr>
          <w:p w14:paraId="6687948A"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p w14:paraId="7A5A527D" w14:textId="574E9EC0"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4</w:t>
            </w:r>
          </w:p>
        </w:tc>
        <w:tc>
          <w:tcPr>
            <w:tcW w:w="811" w:type="dxa"/>
            <w:tcBorders>
              <w:top w:val="nil"/>
              <w:left w:val="nil"/>
              <w:bottom w:val="single" w:sz="4" w:space="0" w:color="auto"/>
              <w:right w:val="single" w:sz="4" w:space="0" w:color="auto"/>
            </w:tcBorders>
            <w:shd w:val="clear" w:color="000000" w:fill="A6A6A6"/>
            <w:vAlign w:val="center"/>
            <w:hideMark/>
          </w:tcPr>
          <w:p w14:paraId="761B75E0"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p w14:paraId="168604F1" w14:textId="22F6C41A"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3</w:t>
            </w:r>
          </w:p>
        </w:tc>
        <w:tc>
          <w:tcPr>
            <w:tcW w:w="801" w:type="dxa"/>
            <w:tcBorders>
              <w:top w:val="nil"/>
              <w:left w:val="nil"/>
              <w:bottom w:val="single" w:sz="4" w:space="0" w:color="auto"/>
              <w:right w:val="single" w:sz="4" w:space="0" w:color="auto"/>
            </w:tcBorders>
            <w:shd w:val="clear" w:color="000000" w:fill="A6A6A6"/>
            <w:vAlign w:val="center"/>
            <w:hideMark/>
          </w:tcPr>
          <w:p w14:paraId="2E78610D"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p w14:paraId="5B2FFED8" w14:textId="4A5450B1"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4</w:t>
            </w:r>
          </w:p>
        </w:tc>
        <w:tc>
          <w:tcPr>
            <w:tcW w:w="811" w:type="dxa"/>
            <w:tcBorders>
              <w:top w:val="nil"/>
              <w:left w:val="nil"/>
              <w:bottom w:val="single" w:sz="4" w:space="0" w:color="auto"/>
              <w:right w:val="single" w:sz="4" w:space="0" w:color="auto"/>
            </w:tcBorders>
            <w:shd w:val="clear" w:color="000000" w:fill="A6A6A6"/>
            <w:vAlign w:val="center"/>
            <w:hideMark/>
          </w:tcPr>
          <w:p w14:paraId="5B509D7A"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p w14:paraId="3EB63892" w14:textId="1D24D845"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3</w:t>
            </w:r>
          </w:p>
        </w:tc>
        <w:tc>
          <w:tcPr>
            <w:tcW w:w="801" w:type="dxa"/>
            <w:tcBorders>
              <w:top w:val="nil"/>
              <w:left w:val="nil"/>
              <w:bottom w:val="single" w:sz="4" w:space="0" w:color="auto"/>
              <w:right w:val="single" w:sz="4" w:space="0" w:color="auto"/>
            </w:tcBorders>
            <w:shd w:val="clear" w:color="000000" w:fill="A6A6A6"/>
            <w:vAlign w:val="center"/>
            <w:hideMark/>
          </w:tcPr>
          <w:p w14:paraId="6FA51E6A"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p w14:paraId="2C8CBF7F" w14:textId="1B22A304"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4</w:t>
            </w:r>
          </w:p>
        </w:tc>
        <w:tc>
          <w:tcPr>
            <w:tcW w:w="811" w:type="dxa"/>
            <w:tcBorders>
              <w:top w:val="nil"/>
              <w:left w:val="nil"/>
              <w:bottom w:val="single" w:sz="4" w:space="0" w:color="auto"/>
              <w:right w:val="single" w:sz="4" w:space="0" w:color="auto"/>
            </w:tcBorders>
            <w:shd w:val="clear" w:color="000000" w:fill="A6A6A6"/>
            <w:vAlign w:val="center"/>
            <w:hideMark/>
          </w:tcPr>
          <w:p w14:paraId="2E9B2FB3" w14:textId="77777777" w:rsidR="00B476D7" w:rsidRDefault="00B476D7" w:rsidP="00C773BB">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p w14:paraId="1281A139" w14:textId="67DB7BDA" w:rsidR="00B476D7" w:rsidRPr="005C1FB2" w:rsidRDefault="00B476D7"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w:t>
            </w:r>
            <w:r w:rsidR="005836CA">
              <w:rPr>
                <w:rFonts w:ascii="Arial" w:eastAsia="Times New Roman" w:hAnsi="Arial" w:cs="Arial"/>
                <w:b/>
                <w:bCs/>
                <w:color w:val="FFFFFF"/>
                <w:sz w:val="18"/>
                <w:szCs w:val="18"/>
                <w:lang w:eastAsia="es-MX"/>
              </w:rPr>
              <w:t>3</w:t>
            </w:r>
            <w:r w:rsidRPr="005C1FB2">
              <w:rPr>
                <w:rFonts w:ascii="Arial" w:eastAsia="Times New Roman" w:hAnsi="Arial" w:cs="Arial"/>
                <w:b/>
                <w:bCs/>
                <w:color w:val="FFFFFF"/>
                <w:sz w:val="18"/>
                <w:szCs w:val="18"/>
                <w:lang w:eastAsia="es-MX"/>
              </w:rPr>
              <w:t xml:space="preserve"> </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1212CE38" w14:textId="77777777" w:rsidR="00B476D7" w:rsidRPr="005C1FB2" w:rsidRDefault="00B476D7" w:rsidP="00C773BB">
            <w:pPr>
              <w:ind w:right="0"/>
              <w:jc w:val="left"/>
              <w:rPr>
                <w:rFonts w:ascii="Arial" w:eastAsia="Times New Roman" w:hAnsi="Arial" w:cs="Arial"/>
                <w:b/>
                <w:bCs/>
                <w:color w:val="FFFFFF"/>
                <w:sz w:val="18"/>
                <w:szCs w:val="18"/>
                <w:lang w:eastAsia="es-MX"/>
              </w:rPr>
            </w:pPr>
          </w:p>
        </w:tc>
      </w:tr>
      <w:tr w:rsidR="00B476D7" w:rsidRPr="005C1FB2" w14:paraId="7F31A898" w14:textId="77777777" w:rsidTr="00C773BB">
        <w:trPr>
          <w:trHeight w:val="271"/>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A94801" w14:textId="77777777" w:rsidR="00B476D7" w:rsidRPr="005C1FB2" w:rsidRDefault="00B476D7" w:rsidP="00C773BB">
            <w:pPr>
              <w:ind w:right="0"/>
              <w:jc w:val="left"/>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VERACRUZ</w:t>
            </w:r>
          </w:p>
        </w:tc>
        <w:tc>
          <w:tcPr>
            <w:tcW w:w="691" w:type="dxa"/>
            <w:tcBorders>
              <w:top w:val="nil"/>
              <w:left w:val="nil"/>
              <w:bottom w:val="single" w:sz="4" w:space="0" w:color="auto"/>
              <w:right w:val="single" w:sz="4" w:space="0" w:color="auto"/>
            </w:tcBorders>
            <w:shd w:val="clear" w:color="auto" w:fill="auto"/>
            <w:vAlign w:val="center"/>
            <w:hideMark/>
          </w:tcPr>
          <w:p w14:paraId="143C2F19" w14:textId="77777777" w:rsidR="00B476D7" w:rsidRPr="005C1FB2" w:rsidRDefault="00B476D7"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LOS CONTEMPLADOS EN EL ARTICULO 114 DEL CODIGO HACENDARIO</w:t>
            </w:r>
          </w:p>
        </w:tc>
        <w:tc>
          <w:tcPr>
            <w:tcW w:w="571" w:type="dxa"/>
            <w:tcBorders>
              <w:top w:val="nil"/>
              <w:left w:val="nil"/>
              <w:bottom w:val="single" w:sz="4" w:space="0" w:color="auto"/>
              <w:right w:val="single" w:sz="4" w:space="0" w:color="auto"/>
            </w:tcBorders>
            <w:shd w:val="clear" w:color="auto" w:fill="auto"/>
            <w:vAlign w:val="center"/>
            <w:hideMark/>
          </w:tcPr>
          <w:p w14:paraId="63E798AA" w14:textId="77777777" w:rsidR="00B476D7" w:rsidRPr="006540AC"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VALOR CATASTRAL</w:t>
            </w:r>
          </w:p>
          <w:p w14:paraId="46D88FA5"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TOTAL</w:t>
            </w:r>
          </w:p>
        </w:tc>
        <w:tc>
          <w:tcPr>
            <w:tcW w:w="801" w:type="dxa"/>
            <w:tcBorders>
              <w:top w:val="nil"/>
              <w:left w:val="nil"/>
              <w:bottom w:val="single" w:sz="4" w:space="0" w:color="auto"/>
              <w:right w:val="single" w:sz="4" w:space="0" w:color="auto"/>
            </w:tcBorders>
            <w:shd w:val="clear" w:color="auto" w:fill="auto"/>
            <w:vAlign w:val="center"/>
            <w:hideMark/>
          </w:tcPr>
          <w:p w14:paraId="7D0B7744"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1.150</w:t>
            </w:r>
          </w:p>
        </w:tc>
        <w:tc>
          <w:tcPr>
            <w:tcW w:w="811" w:type="dxa"/>
            <w:tcBorders>
              <w:top w:val="nil"/>
              <w:left w:val="nil"/>
              <w:bottom w:val="single" w:sz="4" w:space="0" w:color="auto"/>
              <w:right w:val="single" w:sz="4" w:space="0" w:color="auto"/>
            </w:tcBorders>
            <w:shd w:val="clear" w:color="auto" w:fill="auto"/>
            <w:vAlign w:val="center"/>
            <w:hideMark/>
          </w:tcPr>
          <w:p w14:paraId="3BEB7319"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1.150</w:t>
            </w:r>
          </w:p>
        </w:tc>
        <w:tc>
          <w:tcPr>
            <w:tcW w:w="801" w:type="dxa"/>
            <w:tcBorders>
              <w:top w:val="nil"/>
              <w:left w:val="nil"/>
              <w:bottom w:val="single" w:sz="4" w:space="0" w:color="auto"/>
              <w:right w:val="single" w:sz="4" w:space="0" w:color="auto"/>
            </w:tcBorders>
            <w:shd w:val="clear" w:color="auto" w:fill="auto"/>
            <w:vAlign w:val="center"/>
            <w:hideMark/>
          </w:tcPr>
          <w:p w14:paraId="52AB689D"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0.700</w:t>
            </w:r>
          </w:p>
        </w:tc>
        <w:tc>
          <w:tcPr>
            <w:tcW w:w="811" w:type="dxa"/>
            <w:tcBorders>
              <w:top w:val="nil"/>
              <w:left w:val="nil"/>
              <w:bottom w:val="single" w:sz="4" w:space="0" w:color="auto"/>
              <w:right w:val="single" w:sz="4" w:space="0" w:color="auto"/>
            </w:tcBorders>
            <w:shd w:val="clear" w:color="auto" w:fill="auto"/>
            <w:vAlign w:val="center"/>
            <w:hideMark/>
          </w:tcPr>
          <w:p w14:paraId="14D92368"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0.700</w:t>
            </w:r>
          </w:p>
        </w:tc>
        <w:tc>
          <w:tcPr>
            <w:tcW w:w="801" w:type="dxa"/>
            <w:tcBorders>
              <w:top w:val="nil"/>
              <w:left w:val="nil"/>
              <w:bottom w:val="single" w:sz="4" w:space="0" w:color="auto"/>
              <w:right w:val="single" w:sz="4" w:space="0" w:color="auto"/>
            </w:tcBorders>
            <w:shd w:val="clear" w:color="auto" w:fill="auto"/>
            <w:vAlign w:val="center"/>
            <w:hideMark/>
          </w:tcPr>
          <w:p w14:paraId="6930147C"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4.500</w:t>
            </w:r>
          </w:p>
        </w:tc>
        <w:tc>
          <w:tcPr>
            <w:tcW w:w="811" w:type="dxa"/>
            <w:tcBorders>
              <w:top w:val="nil"/>
              <w:left w:val="nil"/>
              <w:bottom w:val="single" w:sz="4" w:space="0" w:color="auto"/>
              <w:right w:val="single" w:sz="4" w:space="0" w:color="auto"/>
            </w:tcBorders>
            <w:shd w:val="clear" w:color="auto" w:fill="auto"/>
            <w:vAlign w:val="center"/>
            <w:hideMark/>
          </w:tcPr>
          <w:p w14:paraId="748ED2BA"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4.500</w:t>
            </w:r>
          </w:p>
        </w:tc>
        <w:tc>
          <w:tcPr>
            <w:tcW w:w="801" w:type="dxa"/>
            <w:tcBorders>
              <w:top w:val="nil"/>
              <w:left w:val="nil"/>
              <w:bottom w:val="single" w:sz="4" w:space="0" w:color="auto"/>
              <w:right w:val="single" w:sz="4" w:space="0" w:color="auto"/>
            </w:tcBorders>
            <w:shd w:val="clear" w:color="auto" w:fill="auto"/>
            <w:vAlign w:val="center"/>
            <w:hideMark/>
          </w:tcPr>
          <w:p w14:paraId="2637292D"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1.400</w:t>
            </w:r>
          </w:p>
        </w:tc>
        <w:tc>
          <w:tcPr>
            <w:tcW w:w="811" w:type="dxa"/>
            <w:tcBorders>
              <w:top w:val="nil"/>
              <w:left w:val="nil"/>
              <w:bottom w:val="single" w:sz="4" w:space="0" w:color="auto"/>
              <w:right w:val="single" w:sz="4" w:space="0" w:color="auto"/>
            </w:tcBorders>
            <w:shd w:val="clear" w:color="auto" w:fill="auto"/>
            <w:vAlign w:val="center"/>
            <w:hideMark/>
          </w:tcPr>
          <w:p w14:paraId="2D3363B6" w14:textId="77777777" w:rsidR="00B476D7" w:rsidRPr="005C1FB2" w:rsidRDefault="00B476D7" w:rsidP="00C773BB">
            <w:pPr>
              <w:ind w:right="0"/>
              <w:rPr>
                <w:rFonts w:ascii="Arial" w:eastAsia="Times New Roman" w:hAnsi="Arial" w:cs="Arial"/>
                <w:color w:val="000000"/>
                <w:sz w:val="18"/>
                <w:szCs w:val="18"/>
                <w:lang w:eastAsia="es-MX"/>
              </w:rPr>
            </w:pPr>
            <w:r w:rsidRPr="006540AC">
              <w:rPr>
                <w:rFonts w:ascii="Arial" w:eastAsia="Times New Roman" w:hAnsi="Arial" w:cs="Arial"/>
                <w:color w:val="000000"/>
                <w:sz w:val="18"/>
                <w:szCs w:val="18"/>
                <w:lang w:eastAsia="es-MX"/>
              </w:rPr>
              <w:t>1.400</w:t>
            </w:r>
          </w:p>
        </w:tc>
        <w:tc>
          <w:tcPr>
            <w:tcW w:w="681" w:type="dxa"/>
            <w:tcBorders>
              <w:top w:val="nil"/>
              <w:left w:val="nil"/>
              <w:bottom w:val="single" w:sz="4" w:space="0" w:color="auto"/>
              <w:right w:val="single" w:sz="4" w:space="0" w:color="auto"/>
            </w:tcBorders>
            <w:shd w:val="clear" w:color="auto" w:fill="auto"/>
            <w:vAlign w:val="center"/>
            <w:hideMark/>
          </w:tcPr>
          <w:p w14:paraId="27851815" w14:textId="77777777" w:rsidR="00B476D7" w:rsidRDefault="00B476D7"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ENERO Y</w:t>
            </w:r>
          </w:p>
          <w:p w14:paraId="37F9A4BD" w14:textId="77777777" w:rsidR="00B476D7" w:rsidRPr="005C1FB2" w:rsidRDefault="00B476D7"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JULIO</w:t>
            </w:r>
          </w:p>
        </w:tc>
      </w:tr>
    </w:tbl>
    <w:p w14:paraId="57219279" w14:textId="77777777" w:rsidR="00665980" w:rsidRPr="004B12E4" w:rsidRDefault="00665980" w:rsidP="00665980">
      <w:pPr>
        <w:jc w:val="both"/>
        <w:rPr>
          <w:rFonts w:ascii="Arial" w:hAnsi="Arial" w:cs="Arial"/>
        </w:rPr>
      </w:pPr>
    </w:p>
    <w:p w14:paraId="2E6BB638" w14:textId="3767E2D5" w:rsidR="00E96BB8" w:rsidRPr="000D6DF5" w:rsidRDefault="00E96BB8" w:rsidP="00E96BB8">
      <w:pPr>
        <w:jc w:val="both"/>
        <w:rPr>
          <w:rFonts w:ascii="Arial" w:hAnsi="Arial" w:cs="Arial"/>
          <w:b/>
        </w:rPr>
      </w:pPr>
      <w:r>
        <w:rPr>
          <w:rFonts w:ascii="Arial" w:hAnsi="Arial" w:cs="Arial"/>
          <w:b/>
        </w:rPr>
        <w:t>Las</w:t>
      </w:r>
      <w:r w:rsidRPr="000D6DF5">
        <w:rPr>
          <w:rFonts w:ascii="Arial" w:hAnsi="Arial" w:cs="Arial"/>
          <w:b/>
        </w:rPr>
        <w:t xml:space="preserve"> tasas</w:t>
      </w:r>
      <w:r>
        <w:rPr>
          <w:rFonts w:ascii="Arial" w:hAnsi="Arial" w:cs="Arial"/>
          <w:b/>
        </w:rPr>
        <w:t xml:space="preserve"> y tarifas del impuesto predial se encuentran establecidas en el artículo 5 </w:t>
      </w:r>
      <w:r w:rsidRPr="000D6DF5">
        <w:rPr>
          <w:rFonts w:ascii="Arial" w:hAnsi="Arial" w:cs="Arial"/>
          <w:b/>
        </w:rPr>
        <w:t>de</w:t>
      </w:r>
      <w:r>
        <w:rPr>
          <w:rFonts w:ascii="Arial" w:hAnsi="Arial" w:cs="Arial"/>
          <w:b/>
        </w:rPr>
        <w:t xml:space="preserve"> </w:t>
      </w:r>
      <w:r w:rsidRPr="000D6DF5">
        <w:rPr>
          <w:rFonts w:ascii="Arial" w:hAnsi="Arial" w:cs="Arial"/>
          <w:b/>
        </w:rPr>
        <w:t>Ley de ingresos correspondiente a l</w:t>
      </w:r>
      <w:r>
        <w:rPr>
          <w:rFonts w:ascii="Arial" w:hAnsi="Arial" w:cs="Arial"/>
          <w:b/>
        </w:rPr>
        <w:t>os años solicitados. Se anexo las Leyes de Ingresos de los ejercicios 2023 y 2024.</w:t>
      </w:r>
    </w:p>
    <w:p w14:paraId="48F1BBF9" w14:textId="77777777" w:rsidR="00665980" w:rsidRPr="004B12E4" w:rsidRDefault="00665980" w:rsidP="00665980">
      <w:pPr>
        <w:jc w:val="both"/>
        <w:rPr>
          <w:rFonts w:ascii="Arial" w:hAnsi="Arial" w:cs="Arial"/>
        </w:rPr>
      </w:pPr>
    </w:p>
    <w:p w14:paraId="7CC509EF" w14:textId="77777777" w:rsidR="00665980" w:rsidRDefault="00665980" w:rsidP="00665980">
      <w:pPr>
        <w:jc w:val="both"/>
        <w:rPr>
          <w:rFonts w:ascii="Arial" w:hAnsi="Arial" w:cs="Arial"/>
        </w:rPr>
      </w:pPr>
    </w:p>
    <w:p w14:paraId="0AC00DFC" w14:textId="77777777" w:rsidR="00CD6B59" w:rsidRDefault="00CD6B59" w:rsidP="00665980">
      <w:pPr>
        <w:jc w:val="both"/>
        <w:rPr>
          <w:rFonts w:ascii="Arial" w:hAnsi="Arial" w:cs="Arial"/>
        </w:rPr>
      </w:pPr>
    </w:p>
    <w:p w14:paraId="674509CA" w14:textId="77777777" w:rsidR="00CD6B59" w:rsidRPr="004B12E4" w:rsidRDefault="00CD6B59" w:rsidP="00665980">
      <w:pPr>
        <w:jc w:val="both"/>
        <w:rPr>
          <w:rFonts w:ascii="Arial" w:hAnsi="Arial" w:cs="Arial"/>
        </w:rPr>
      </w:pPr>
    </w:p>
    <w:p w14:paraId="2E1B04CB" w14:textId="77777777" w:rsidR="00665980" w:rsidRDefault="00665980" w:rsidP="00665980">
      <w:pPr>
        <w:jc w:val="both"/>
        <w:rPr>
          <w:rFonts w:ascii="Arial" w:hAnsi="Arial" w:cs="Arial"/>
        </w:rPr>
      </w:pPr>
      <w:r w:rsidRPr="004B12E4">
        <w:rPr>
          <w:rFonts w:ascii="Arial" w:hAnsi="Arial" w:cs="Arial"/>
        </w:rPr>
        <w:lastRenderedPageBreak/>
        <w:t>5. En el caso de viviendas de interés social y popular, cuya forma de pago sea a través de cuota mínima, señale por municipio, el monto de ésta; así como la del ejercicio inmediato anterior (en caso de aplicar otro procedimiento especificar).</w:t>
      </w:r>
    </w:p>
    <w:p w14:paraId="27A528AD" w14:textId="77777777" w:rsidR="00CD6B59" w:rsidRDefault="00CD6B59" w:rsidP="00665980">
      <w:pPr>
        <w:jc w:val="both"/>
        <w:rPr>
          <w:rFonts w:ascii="Arial" w:hAnsi="Arial" w:cs="Arial"/>
        </w:rPr>
      </w:pPr>
    </w:p>
    <w:p w14:paraId="6CC77834" w14:textId="77777777" w:rsidR="00CD6B59" w:rsidRDefault="00CD6B59" w:rsidP="00CD6B59">
      <w:pPr>
        <w:jc w:val="both"/>
        <w:rPr>
          <w:rFonts w:ascii="Arial" w:hAnsi="Arial" w:cs="Arial"/>
          <w:b/>
        </w:rPr>
      </w:pPr>
      <w:r w:rsidRPr="000D6DF5">
        <w:rPr>
          <w:rFonts w:ascii="Arial" w:hAnsi="Arial" w:cs="Arial"/>
          <w:b/>
        </w:rPr>
        <w:t xml:space="preserve">R= </w:t>
      </w:r>
      <w:r>
        <w:rPr>
          <w:rFonts w:ascii="Arial" w:hAnsi="Arial" w:cs="Arial"/>
          <w:b/>
        </w:rPr>
        <w:t>En el artículo 122, del Código Hacendario para el municipio de Veracruz dispone lo siguiente:</w:t>
      </w:r>
    </w:p>
    <w:p w14:paraId="3B5B529C" w14:textId="77777777" w:rsidR="00CD6B59" w:rsidRDefault="00CD6B59" w:rsidP="00CD6B59">
      <w:pPr>
        <w:jc w:val="both"/>
        <w:rPr>
          <w:rFonts w:ascii="Arial" w:hAnsi="Arial" w:cs="Arial"/>
          <w:b/>
        </w:rPr>
      </w:pPr>
      <w:r w:rsidRPr="000D6DF5">
        <w:rPr>
          <w:rFonts w:ascii="Arial" w:hAnsi="Arial" w:cs="Arial"/>
          <w:b/>
        </w:rPr>
        <w:t>Artículo 122.-El impuesto anual a pagar no podrá ser menor a tres salarios mínimos, excepto lo dispuesto por el artículo 118 de este Código.</w:t>
      </w:r>
    </w:p>
    <w:p w14:paraId="397CFDEB" w14:textId="245DDC82" w:rsidR="00CD6B59" w:rsidRPr="000D6DF5" w:rsidRDefault="00CD6B59" w:rsidP="00CD6B59">
      <w:pPr>
        <w:jc w:val="both"/>
        <w:rPr>
          <w:rFonts w:ascii="Arial" w:hAnsi="Arial" w:cs="Arial"/>
          <w:b/>
        </w:rPr>
      </w:pPr>
      <w:r>
        <w:rPr>
          <w:rFonts w:ascii="Arial" w:hAnsi="Arial" w:cs="Arial"/>
          <w:b/>
        </w:rPr>
        <w:t>Artículo que no ha sufrido modificaciones por lo tanto la cuota mínima para los años 2023 y 2024 son 3 UMAS.</w:t>
      </w:r>
    </w:p>
    <w:p w14:paraId="0B25F2A5" w14:textId="77777777" w:rsidR="00CD6B59" w:rsidRDefault="00CD6B59" w:rsidP="00CD6B59">
      <w:pPr>
        <w:jc w:val="both"/>
        <w:rPr>
          <w:rFonts w:ascii="Arial" w:hAnsi="Arial" w:cs="Arial"/>
          <w:b/>
        </w:rPr>
      </w:pPr>
      <w:r w:rsidRPr="00A15D7B">
        <w:rPr>
          <w:rFonts w:ascii="Arial" w:hAnsi="Arial" w:cs="Arial"/>
          <w:b/>
        </w:rPr>
        <w:t>Hay que tener previsto que en el mes de febrero la UMA sufre cambios, porque el monto inicial al año será diferente al cierre de año.</w:t>
      </w:r>
    </w:p>
    <w:p w14:paraId="776B5C79" w14:textId="77777777" w:rsidR="00CD6B59" w:rsidRPr="004B12E4" w:rsidRDefault="00CD6B59" w:rsidP="00665980">
      <w:pPr>
        <w:jc w:val="both"/>
        <w:rPr>
          <w:rFonts w:ascii="Arial" w:hAnsi="Arial" w:cs="Arial"/>
        </w:rPr>
      </w:pPr>
    </w:p>
    <w:p w14:paraId="5D93BA09" w14:textId="77777777" w:rsidR="00665980" w:rsidRPr="004B12E4" w:rsidRDefault="00665980" w:rsidP="00665980">
      <w:pPr>
        <w:jc w:val="both"/>
        <w:rPr>
          <w:rFonts w:ascii="Arial" w:hAnsi="Arial" w:cs="Arial"/>
        </w:rPr>
      </w:pPr>
    </w:p>
    <w:p w14:paraId="0754C064" w14:textId="77777777" w:rsidR="00665980" w:rsidRPr="004B12E4" w:rsidRDefault="00665980" w:rsidP="00665980">
      <w:pPr>
        <w:jc w:val="both"/>
        <w:rPr>
          <w:rFonts w:ascii="Arial" w:hAnsi="Arial" w:cs="Arial"/>
        </w:rPr>
      </w:pPr>
    </w:p>
    <w:tbl>
      <w:tblPr>
        <w:tblW w:w="5160" w:type="dxa"/>
        <w:jc w:val="center"/>
        <w:tblCellMar>
          <w:left w:w="70" w:type="dxa"/>
          <w:right w:w="70" w:type="dxa"/>
        </w:tblCellMar>
        <w:tblLook w:val="04A0" w:firstRow="1" w:lastRow="0" w:firstColumn="1" w:lastColumn="0" w:noHBand="0" w:noVBand="1"/>
      </w:tblPr>
      <w:tblGrid>
        <w:gridCol w:w="980"/>
        <w:gridCol w:w="1140"/>
        <w:gridCol w:w="1100"/>
        <w:gridCol w:w="1060"/>
        <w:gridCol w:w="880"/>
      </w:tblGrid>
      <w:tr w:rsidR="00CD6B59" w:rsidRPr="006540AC" w14:paraId="72DD1A74" w14:textId="77777777" w:rsidTr="00C773BB">
        <w:trPr>
          <w:trHeight w:val="30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2EB48E9F"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Municipio</w:t>
            </w:r>
          </w:p>
        </w:tc>
        <w:tc>
          <w:tcPr>
            <w:tcW w:w="2240" w:type="dxa"/>
            <w:gridSpan w:val="2"/>
            <w:tcBorders>
              <w:top w:val="single" w:sz="4" w:space="0" w:color="auto"/>
              <w:left w:val="nil"/>
              <w:bottom w:val="single" w:sz="4" w:space="0" w:color="auto"/>
              <w:right w:val="single" w:sz="4" w:space="0" w:color="000000"/>
            </w:tcBorders>
            <w:shd w:val="clear" w:color="000000" w:fill="A6A6A6"/>
            <w:vAlign w:val="center"/>
            <w:hideMark/>
          </w:tcPr>
          <w:p w14:paraId="5FD0258E" w14:textId="77777777" w:rsidR="00CD6B59"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Cuota Mínima</w:t>
            </w:r>
          </w:p>
          <w:p w14:paraId="4F3D907A" w14:textId="77777777"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Enero</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07DC74A3"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Var. Abs.</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2F733C4D"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Var. Rel.</w:t>
            </w:r>
          </w:p>
        </w:tc>
      </w:tr>
      <w:tr w:rsidR="00CD6B59" w:rsidRPr="006540AC" w14:paraId="77C9094A" w14:textId="77777777" w:rsidTr="00C773BB">
        <w:trPr>
          <w:trHeight w:val="70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274CD518" w14:textId="77777777" w:rsidR="00CD6B59" w:rsidRPr="006540AC" w:rsidRDefault="00CD6B59" w:rsidP="00C773BB">
            <w:pPr>
              <w:ind w:right="0"/>
              <w:rPr>
                <w:rFonts w:ascii="Arial" w:eastAsia="Times New Roman" w:hAnsi="Arial" w:cs="Arial"/>
                <w:b/>
                <w:bCs/>
                <w:color w:val="FFFFFF"/>
                <w:sz w:val="18"/>
                <w:szCs w:val="18"/>
                <w:lang w:eastAsia="es-MX"/>
              </w:rPr>
            </w:pPr>
          </w:p>
        </w:tc>
        <w:tc>
          <w:tcPr>
            <w:tcW w:w="1140" w:type="dxa"/>
            <w:tcBorders>
              <w:top w:val="nil"/>
              <w:left w:val="nil"/>
              <w:bottom w:val="single" w:sz="4" w:space="0" w:color="auto"/>
              <w:right w:val="single" w:sz="4" w:space="0" w:color="auto"/>
            </w:tcBorders>
            <w:shd w:val="clear" w:color="000000" w:fill="A6A6A6"/>
            <w:vAlign w:val="center"/>
            <w:hideMark/>
          </w:tcPr>
          <w:p w14:paraId="4997C46C" w14:textId="77777777" w:rsidR="00CD6B59" w:rsidRDefault="00CD6B59" w:rsidP="00C773BB">
            <w:pPr>
              <w:ind w:right="0"/>
              <w:rPr>
                <w:rFonts w:ascii="Arial" w:eastAsia="Times New Roman" w:hAnsi="Arial" w:cs="Arial"/>
                <w:b/>
                <w:bCs/>
                <w:color w:val="FFFFFF"/>
                <w:sz w:val="18"/>
                <w:szCs w:val="18"/>
                <w:lang w:eastAsia="es-MX"/>
              </w:rPr>
            </w:pPr>
          </w:p>
          <w:p w14:paraId="5E5740BE" w14:textId="2E227D63"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2024</w:t>
            </w:r>
          </w:p>
        </w:tc>
        <w:tc>
          <w:tcPr>
            <w:tcW w:w="1100" w:type="dxa"/>
            <w:tcBorders>
              <w:top w:val="nil"/>
              <w:left w:val="nil"/>
              <w:bottom w:val="single" w:sz="4" w:space="0" w:color="auto"/>
              <w:right w:val="single" w:sz="4" w:space="0" w:color="auto"/>
            </w:tcBorders>
            <w:shd w:val="clear" w:color="000000" w:fill="A6A6A6"/>
            <w:vAlign w:val="center"/>
            <w:hideMark/>
          </w:tcPr>
          <w:p w14:paraId="545BAD3C" w14:textId="36DC27EF"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2023</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C11CC6F" w14:textId="77777777" w:rsidR="00CD6B59" w:rsidRPr="006540AC" w:rsidRDefault="00CD6B59" w:rsidP="00C773BB">
            <w:pPr>
              <w:ind w:right="0"/>
              <w:rPr>
                <w:rFonts w:ascii="Arial" w:eastAsia="Times New Roman" w:hAnsi="Arial" w:cs="Arial"/>
                <w:b/>
                <w:bCs/>
                <w:color w:val="FFFFFF"/>
                <w:sz w:val="18"/>
                <w:szCs w:val="18"/>
                <w:lang w:eastAsia="es-MX"/>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31DC9EE8" w14:textId="77777777" w:rsidR="00CD6B59" w:rsidRPr="006540AC" w:rsidRDefault="00CD6B59" w:rsidP="00C773BB">
            <w:pPr>
              <w:ind w:right="0"/>
              <w:rPr>
                <w:rFonts w:ascii="Arial" w:eastAsia="Times New Roman" w:hAnsi="Arial" w:cs="Arial"/>
                <w:b/>
                <w:bCs/>
                <w:color w:val="FFFFFF"/>
                <w:sz w:val="18"/>
                <w:szCs w:val="18"/>
                <w:lang w:eastAsia="es-MX"/>
              </w:rPr>
            </w:pPr>
          </w:p>
        </w:tc>
      </w:tr>
      <w:tr w:rsidR="00CD6B59" w:rsidRPr="006540AC" w14:paraId="40735152" w14:textId="77777777" w:rsidTr="00C773BB">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6764202" w14:textId="77777777" w:rsidR="00CD6B59" w:rsidRPr="006540AC" w:rsidRDefault="00CD6B5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Veracruz</w:t>
            </w:r>
          </w:p>
        </w:tc>
        <w:tc>
          <w:tcPr>
            <w:tcW w:w="1140" w:type="dxa"/>
            <w:tcBorders>
              <w:top w:val="nil"/>
              <w:left w:val="nil"/>
              <w:bottom w:val="single" w:sz="4" w:space="0" w:color="auto"/>
              <w:right w:val="single" w:sz="4" w:space="0" w:color="auto"/>
            </w:tcBorders>
            <w:shd w:val="clear" w:color="auto" w:fill="auto"/>
            <w:noWrap/>
            <w:vAlign w:val="center"/>
          </w:tcPr>
          <w:p w14:paraId="31CF36BF" w14:textId="316E2095" w:rsidR="00CD6B59" w:rsidRPr="006540AC" w:rsidRDefault="00CD6B5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311.22</w:t>
            </w:r>
          </w:p>
        </w:tc>
        <w:tc>
          <w:tcPr>
            <w:tcW w:w="1100" w:type="dxa"/>
            <w:tcBorders>
              <w:top w:val="nil"/>
              <w:left w:val="nil"/>
              <w:bottom w:val="single" w:sz="4" w:space="0" w:color="auto"/>
              <w:right w:val="single" w:sz="4" w:space="0" w:color="auto"/>
            </w:tcBorders>
            <w:shd w:val="clear" w:color="auto" w:fill="auto"/>
            <w:noWrap/>
            <w:vAlign w:val="center"/>
          </w:tcPr>
          <w:p w14:paraId="75740624" w14:textId="77FC277F" w:rsidR="00CD6B59" w:rsidRPr="006540AC" w:rsidRDefault="00CD6B5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288.66</w:t>
            </w:r>
          </w:p>
        </w:tc>
        <w:tc>
          <w:tcPr>
            <w:tcW w:w="1060" w:type="dxa"/>
            <w:tcBorders>
              <w:top w:val="nil"/>
              <w:left w:val="nil"/>
              <w:bottom w:val="single" w:sz="4" w:space="0" w:color="auto"/>
              <w:right w:val="single" w:sz="4" w:space="0" w:color="auto"/>
            </w:tcBorders>
            <w:shd w:val="clear" w:color="auto" w:fill="auto"/>
            <w:noWrap/>
            <w:vAlign w:val="center"/>
          </w:tcPr>
          <w:p w14:paraId="7F1C7B3A" w14:textId="09761A64" w:rsidR="00CD6B59" w:rsidRPr="006540AC" w:rsidRDefault="001F2E28"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22.56</w:t>
            </w:r>
          </w:p>
        </w:tc>
        <w:tc>
          <w:tcPr>
            <w:tcW w:w="880" w:type="dxa"/>
            <w:tcBorders>
              <w:top w:val="nil"/>
              <w:left w:val="nil"/>
              <w:bottom w:val="single" w:sz="4" w:space="0" w:color="auto"/>
              <w:right w:val="single" w:sz="4" w:space="0" w:color="auto"/>
            </w:tcBorders>
            <w:shd w:val="clear" w:color="auto" w:fill="auto"/>
            <w:noWrap/>
            <w:vAlign w:val="center"/>
          </w:tcPr>
          <w:p w14:paraId="02B04C7F" w14:textId="32540AD5" w:rsidR="00CD6B59" w:rsidRPr="006540AC" w:rsidRDefault="001F2E28"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7.81%</w:t>
            </w:r>
          </w:p>
        </w:tc>
      </w:tr>
      <w:tr w:rsidR="00CD6B59" w:rsidRPr="006540AC" w14:paraId="5EEA5FE2" w14:textId="77777777" w:rsidTr="00C773BB">
        <w:trPr>
          <w:trHeight w:val="30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23037E93"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Municipio</w:t>
            </w:r>
          </w:p>
        </w:tc>
        <w:tc>
          <w:tcPr>
            <w:tcW w:w="2240" w:type="dxa"/>
            <w:gridSpan w:val="2"/>
            <w:tcBorders>
              <w:top w:val="single" w:sz="4" w:space="0" w:color="auto"/>
              <w:left w:val="nil"/>
              <w:bottom w:val="single" w:sz="4" w:space="0" w:color="auto"/>
              <w:right w:val="single" w:sz="4" w:space="0" w:color="000000"/>
            </w:tcBorders>
            <w:shd w:val="clear" w:color="000000" w:fill="A6A6A6"/>
            <w:vAlign w:val="center"/>
            <w:hideMark/>
          </w:tcPr>
          <w:p w14:paraId="581B9854" w14:textId="77777777" w:rsidR="00CD6B59"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Cuota Mínima</w:t>
            </w:r>
          </w:p>
          <w:p w14:paraId="35AFC0EF" w14:textId="77777777"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Febrero-Diciembre</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32895250"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Var. Abs.</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59279776" w14:textId="77777777" w:rsidR="00CD6B59" w:rsidRPr="006540AC" w:rsidRDefault="00CD6B59" w:rsidP="00C773BB">
            <w:pPr>
              <w:ind w:right="0"/>
              <w:rPr>
                <w:rFonts w:ascii="Arial" w:eastAsia="Times New Roman" w:hAnsi="Arial" w:cs="Arial"/>
                <w:b/>
                <w:bCs/>
                <w:color w:val="FFFFFF"/>
                <w:sz w:val="18"/>
                <w:szCs w:val="18"/>
                <w:lang w:eastAsia="es-MX"/>
              </w:rPr>
            </w:pPr>
            <w:r w:rsidRPr="006540AC">
              <w:rPr>
                <w:rFonts w:ascii="Arial" w:eastAsia="Times New Roman" w:hAnsi="Arial" w:cs="Arial"/>
                <w:b/>
                <w:bCs/>
                <w:color w:val="FFFFFF"/>
                <w:sz w:val="18"/>
                <w:szCs w:val="18"/>
                <w:lang w:eastAsia="es-MX"/>
              </w:rPr>
              <w:t>Var. Rel.</w:t>
            </w:r>
          </w:p>
        </w:tc>
      </w:tr>
      <w:tr w:rsidR="00CD6B59" w:rsidRPr="006540AC" w14:paraId="5B4FC32D" w14:textId="77777777" w:rsidTr="00C773BB">
        <w:trPr>
          <w:trHeight w:val="70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606D4F05" w14:textId="77777777" w:rsidR="00CD6B59" w:rsidRPr="006540AC" w:rsidRDefault="00CD6B59" w:rsidP="00C773BB">
            <w:pPr>
              <w:ind w:right="0"/>
              <w:rPr>
                <w:rFonts w:ascii="Arial" w:eastAsia="Times New Roman" w:hAnsi="Arial" w:cs="Arial"/>
                <w:b/>
                <w:bCs/>
                <w:color w:val="FFFFFF"/>
                <w:sz w:val="18"/>
                <w:szCs w:val="18"/>
                <w:lang w:eastAsia="es-MX"/>
              </w:rPr>
            </w:pPr>
          </w:p>
        </w:tc>
        <w:tc>
          <w:tcPr>
            <w:tcW w:w="1140" w:type="dxa"/>
            <w:tcBorders>
              <w:top w:val="nil"/>
              <w:left w:val="nil"/>
              <w:bottom w:val="single" w:sz="4" w:space="0" w:color="auto"/>
              <w:right w:val="single" w:sz="4" w:space="0" w:color="auto"/>
            </w:tcBorders>
            <w:shd w:val="clear" w:color="000000" w:fill="A6A6A6"/>
            <w:vAlign w:val="center"/>
            <w:hideMark/>
          </w:tcPr>
          <w:p w14:paraId="5C7D5E90" w14:textId="77777777" w:rsidR="00CD6B59" w:rsidRDefault="00CD6B59" w:rsidP="00C773BB">
            <w:pPr>
              <w:ind w:right="0"/>
              <w:rPr>
                <w:rFonts w:ascii="Arial" w:eastAsia="Times New Roman" w:hAnsi="Arial" w:cs="Arial"/>
                <w:b/>
                <w:bCs/>
                <w:color w:val="FFFFFF"/>
                <w:sz w:val="18"/>
                <w:szCs w:val="18"/>
                <w:lang w:eastAsia="es-MX"/>
              </w:rPr>
            </w:pPr>
          </w:p>
          <w:p w14:paraId="50A19BCB" w14:textId="7608E028"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2024</w:t>
            </w:r>
          </w:p>
        </w:tc>
        <w:tc>
          <w:tcPr>
            <w:tcW w:w="1100" w:type="dxa"/>
            <w:tcBorders>
              <w:top w:val="nil"/>
              <w:left w:val="nil"/>
              <w:bottom w:val="single" w:sz="4" w:space="0" w:color="auto"/>
              <w:right w:val="single" w:sz="4" w:space="0" w:color="auto"/>
            </w:tcBorders>
            <w:shd w:val="clear" w:color="000000" w:fill="A6A6A6"/>
            <w:vAlign w:val="center"/>
            <w:hideMark/>
          </w:tcPr>
          <w:p w14:paraId="62E2A0A6" w14:textId="2D3FCEF3" w:rsidR="00CD6B59" w:rsidRPr="006540AC" w:rsidRDefault="00CD6B59" w:rsidP="00C773BB">
            <w:pPr>
              <w:ind w:right="0"/>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2023</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B39DB58" w14:textId="77777777" w:rsidR="00CD6B59" w:rsidRPr="006540AC" w:rsidRDefault="00CD6B59" w:rsidP="00C773BB">
            <w:pPr>
              <w:ind w:right="0"/>
              <w:rPr>
                <w:rFonts w:ascii="Arial" w:eastAsia="Times New Roman" w:hAnsi="Arial" w:cs="Arial"/>
                <w:b/>
                <w:bCs/>
                <w:color w:val="FFFFFF"/>
                <w:sz w:val="18"/>
                <w:szCs w:val="18"/>
                <w:lang w:eastAsia="es-MX"/>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65A08D0B" w14:textId="77777777" w:rsidR="00CD6B59" w:rsidRPr="006540AC" w:rsidRDefault="00CD6B59" w:rsidP="00C773BB">
            <w:pPr>
              <w:ind w:right="0"/>
              <w:rPr>
                <w:rFonts w:ascii="Arial" w:eastAsia="Times New Roman" w:hAnsi="Arial" w:cs="Arial"/>
                <w:b/>
                <w:bCs/>
                <w:color w:val="FFFFFF"/>
                <w:sz w:val="18"/>
                <w:szCs w:val="18"/>
                <w:lang w:eastAsia="es-MX"/>
              </w:rPr>
            </w:pPr>
          </w:p>
        </w:tc>
      </w:tr>
      <w:tr w:rsidR="00CD6B59" w:rsidRPr="006540AC" w14:paraId="45278A76" w14:textId="77777777" w:rsidTr="00C773BB">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DFF6992" w14:textId="77777777" w:rsidR="00CD6B59" w:rsidRPr="006540AC" w:rsidRDefault="00CD6B5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Veracruz</w:t>
            </w:r>
          </w:p>
        </w:tc>
        <w:tc>
          <w:tcPr>
            <w:tcW w:w="1140" w:type="dxa"/>
            <w:tcBorders>
              <w:top w:val="nil"/>
              <w:left w:val="nil"/>
              <w:bottom w:val="single" w:sz="4" w:space="0" w:color="auto"/>
              <w:right w:val="single" w:sz="4" w:space="0" w:color="auto"/>
            </w:tcBorders>
            <w:shd w:val="clear" w:color="auto" w:fill="auto"/>
            <w:noWrap/>
            <w:vAlign w:val="center"/>
          </w:tcPr>
          <w:p w14:paraId="6A81BFCE" w14:textId="3C68105A" w:rsidR="00CD6B59" w:rsidRPr="006540AC" w:rsidRDefault="001F2E28"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325.71</w:t>
            </w:r>
          </w:p>
        </w:tc>
        <w:tc>
          <w:tcPr>
            <w:tcW w:w="1100" w:type="dxa"/>
            <w:tcBorders>
              <w:top w:val="nil"/>
              <w:left w:val="nil"/>
              <w:bottom w:val="single" w:sz="4" w:space="0" w:color="auto"/>
              <w:right w:val="single" w:sz="4" w:space="0" w:color="auto"/>
            </w:tcBorders>
            <w:shd w:val="clear" w:color="auto" w:fill="auto"/>
            <w:noWrap/>
            <w:vAlign w:val="center"/>
          </w:tcPr>
          <w:p w14:paraId="0EA843C4" w14:textId="30FA8664" w:rsidR="00CD6B59" w:rsidRPr="006540AC" w:rsidRDefault="00CD6B5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311.22</w:t>
            </w:r>
          </w:p>
        </w:tc>
        <w:tc>
          <w:tcPr>
            <w:tcW w:w="1060" w:type="dxa"/>
            <w:tcBorders>
              <w:top w:val="nil"/>
              <w:left w:val="nil"/>
              <w:bottom w:val="single" w:sz="4" w:space="0" w:color="auto"/>
              <w:right w:val="single" w:sz="4" w:space="0" w:color="auto"/>
            </w:tcBorders>
            <w:shd w:val="clear" w:color="auto" w:fill="auto"/>
            <w:noWrap/>
            <w:vAlign w:val="center"/>
          </w:tcPr>
          <w:p w14:paraId="683C6854" w14:textId="430B9D72" w:rsidR="00CD6B59" w:rsidRPr="006540AC" w:rsidRDefault="001F2E28"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14.49</w:t>
            </w:r>
          </w:p>
        </w:tc>
        <w:tc>
          <w:tcPr>
            <w:tcW w:w="880" w:type="dxa"/>
            <w:tcBorders>
              <w:top w:val="nil"/>
              <w:left w:val="nil"/>
              <w:bottom w:val="single" w:sz="4" w:space="0" w:color="auto"/>
              <w:right w:val="single" w:sz="4" w:space="0" w:color="auto"/>
            </w:tcBorders>
            <w:shd w:val="clear" w:color="auto" w:fill="auto"/>
            <w:noWrap/>
            <w:vAlign w:val="center"/>
          </w:tcPr>
          <w:p w14:paraId="707B4C35" w14:textId="1FA209FB" w:rsidR="00CD6B59" w:rsidRPr="006540AC" w:rsidRDefault="001F2E28"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4.56%</w:t>
            </w:r>
          </w:p>
        </w:tc>
      </w:tr>
    </w:tbl>
    <w:p w14:paraId="5914CA77" w14:textId="77777777" w:rsidR="00665980" w:rsidRPr="004B12E4" w:rsidRDefault="00665980" w:rsidP="00665980">
      <w:pPr>
        <w:jc w:val="both"/>
        <w:rPr>
          <w:rFonts w:ascii="Arial" w:hAnsi="Arial" w:cs="Arial"/>
        </w:rPr>
      </w:pPr>
    </w:p>
    <w:p w14:paraId="6FEACC48" w14:textId="77777777" w:rsidR="00FD454B" w:rsidRPr="00B6161D" w:rsidRDefault="00FD454B" w:rsidP="00FD454B">
      <w:pPr>
        <w:jc w:val="both"/>
        <w:rPr>
          <w:rFonts w:ascii="Arial" w:hAnsi="Arial" w:cs="Arial"/>
          <w:b/>
        </w:rPr>
      </w:pPr>
      <w:r w:rsidRPr="00B6161D">
        <w:rPr>
          <w:rFonts w:ascii="Arial" w:hAnsi="Arial" w:cs="Arial"/>
          <w:b/>
        </w:rPr>
        <w:t>En la siguiente tabla se proporcionan los datos de las cuentas catastrales que pagan con la cuota mínima y son de tipo interés social y popular.</w:t>
      </w:r>
    </w:p>
    <w:p w14:paraId="1DABE084" w14:textId="77777777" w:rsidR="00FD454B" w:rsidRPr="006540AC" w:rsidRDefault="00FD454B" w:rsidP="00FD454B">
      <w:pPr>
        <w:jc w:val="both"/>
        <w:rPr>
          <w:rFonts w:ascii="Arial" w:hAnsi="Arial" w:cs="Arial"/>
        </w:rPr>
      </w:pPr>
    </w:p>
    <w:tbl>
      <w:tblPr>
        <w:tblW w:w="6000" w:type="dxa"/>
        <w:jc w:val="center"/>
        <w:tblCellMar>
          <w:left w:w="70" w:type="dxa"/>
          <w:right w:w="70" w:type="dxa"/>
        </w:tblCellMar>
        <w:tblLook w:val="04A0" w:firstRow="1" w:lastRow="0" w:firstColumn="1" w:lastColumn="0" w:noHBand="0" w:noVBand="1"/>
      </w:tblPr>
      <w:tblGrid>
        <w:gridCol w:w="1196"/>
        <w:gridCol w:w="1191"/>
        <w:gridCol w:w="1191"/>
        <w:gridCol w:w="1192"/>
        <w:gridCol w:w="1194"/>
        <w:gridCol w:w="146"/>
      </w:tblGrid>
      <w:tr w:rsidR="00FD454B" w:rsidRPr="00AB1FEC" w14:paraId="78AC3CD7" w14:textId="77777777" w:rsidTr="00C773BB">
        <w:trPr>
          <w:gridAfter w:val="1"/>
          <w:wAfter w:w="36" w:type="dxa"/>
          <w:trHeight w:val="300"/>
          <w:jc w:val="center"/>
        </w:trPr>
        <w:tc>
          <w:tcPr>
            <w:tcW w:w="1196"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65D0F341"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 xml:space="preserve">Municipio </w:t>
            </w:r>
          </w:p>
        </w:tc>
        <w:tc>
          <w:tcPr>
            <w:tcW w:w="2382" w:type="dxa"/>
            <w:gridSpan w:val="2"/>
            <w:tcBorders>
              <w:top w:val="single" w:sz="8" w:space="0" w:color="auto"/>
              <w:left w:val="nil"/>
              <w:bottom w:val="nil"/>
              <w:right w:val="single" w:sz="8" w:space="0" w:color="000000"/>
            </w:tcBorders>
            <w:shd w:val="clear" w:color="000000" w:fill="A6A6A6"/>
            <w:vAlign w:val="center"/>
            <w:hideMark/>
          </w:tcPr>
          <w:p w14:paraId="1C10F382"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 xml:space="preserve">Cuentas </w:t>
            </w:r>
          </w:p>
        </w:tc>
        <w:tc>
          <w:tcPr>
            <w:tcW w:w="1192" w:type="dxa"/>
            <w:vMerge w:val="restart"/>
            <w:tcBorders>
              <w:top w:val="single" w:sz="8" w:space="0" w:color="auto"/>
              <w:left w:val="nil"/>
              <w:bottom w:val="single" w:sz="8" w:space="0" w:color="000000"/>
              <w:right w:val="single" w:sz="8" w:space="0" w:color="auto"/>
            </w:tcBorders>
            <w:shd w:val="clear" w:color="000000" w:fill="A6A6A6"/>
            <w:vAlign w:val="center"/>
            <w:hideMark/>
          </w:tcPr>
          <w:p w14:paraId="515A9579"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Var. Abs.</w:t>
            </w:r>
          </w:p>
        </w:tc>
        <w:tc>
          <w:tcPr>
            <w:tcW w:w="119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B25153B"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Var. Rel.</w:t>
            </w:r>
          </w:p>
        </w:tc>
      </w:tr>
      <w:tr w:rsidR="00FD454B" w:rsidRPr="00AB1FEC" w14:paraId="741740DD" w14:textId="77777777" w:rsidTr="00C773BB">
        <w:trPr>
          <w:gridAfter w:val="1"/>
          <w:wAfter w:w="36" w:type="dxa"/>
          <w:trHeight w:val="315"/>
          <w:jc w:val="center"/>
        </w:trPr>
        <w:tc>
          <w:tcPr>
            <w:tcW w:w="1196" w:type="dxa"/>
            <w:vMerge/>
            <w:tcBorders>
              <w:top w:val="single" w:sz="8" w:space="0" w:color="auto"/>
              <w:left w:val="single" w:sz="8" w:space="0" w:color="auto"/>
              <w:bottom w:val="single" w:sz="8" w:space="0" w:color="000000"/>
              <w:right w:val="single" w:sz="8" w:space="0" w:color="auto"/>
            </w:tcBorders>
            <w:vAlign w:val="center"/>
            <w:hideMark/>
          </w:tcPr>
          <w:p w14:paraId="02A6FE18"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2382" w:type="dxa"/>
            <w:gridSpan w:val="2"/>
            <w:tcBorders>
              <w:top w:val="nil"/>
              <w:left w:val="nil"/>
              <w:bottom w:val="single" w:sz="8" w:space="0" w:color="auto"/>
              <w:right w:val="single" w:sz="8" w:space="0" w:color="000000"/>
            </w:tcBorders>
            <w:shd w:val="clear" w:color="000000" w:fill="A6A6A6"/>
            <w:vAlign w:val="center"/>
            <w:hideMark/>
          </w:tcPr>
          <w:p w14:paraId="5B6E871B"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Tipo interés social</w:t>
            </w:r>
          </w:p>
        </w:tc>
        <w:tc>
          <w:tcPr>
            <w:tcW w:w="1192" w:type="dxa"/>
            <w:vMerge/>
            <w:tcBorders>
              <w:top w:val="single" w:sz="8" w:space="0" w:color="auto"/>
              <w:left w:val="nil"/>
              <w:bottom w:val="single" w:sz="8" w:space="0" w:color="000000"/>
              <w:right w:val="single" w:sz="8" w:space="0" w:color="auto"/>
            </w:tcBorders>
            <w:vAlign w:val="center"/>
            <w:hideMark/>
          </w:tcPr>
          <w:p w14:paraId="3A41ECFB"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single" w:sz="8" w:space="0" w:color="auto"/>
              <w:left w:val="single" w:sz="8" w:space="0" w:color="auto"/>
              <w:bottom w:val="single" w:sz="8" w:space="0" w:color="000000"/>
              <w:right w:val="single" w:sz="8" w:space="0" w:color="auto"/>
            </w:tcBorders>
            <w:vAlign w:val="center"/>
            <w:hideMark/>
          </w:tcPr>
          <w:p w14:paraId="0E2D1F52" w14:textId="77777777" w:rsidR="00FD454B" w:rsidRPr="00AB1FEC" w:rsidRDefault="00FD454B" w:rsidP="00C773BB">
            <w:pPr>
              <w:ind w:right="0"/>
              <w:jc w:val="left"/>
              <w:rPr>
                <w:rFonts w:ascii="Arial" w:eastAsia="Times New Roman" w:hAnsi="Arial" w:cs="Arial"/>
                <w:b/>
                <w:bCs/>
                <w:color w:val="FFFFFF"/>
                <w:sz w:val="18"/>
                <w:szCs w:val="18"/>
                <w:lang w:eastAsia="es-MX"/>
              </w:rPr>
            </w:pPr>
          </w:p>
        </w:tc>
      </w:tr>
      <w:tr w:rsidR="00FD454B" w:rsidRPr="00AB1FEC" w14:paraId="5F8B3EDC" w14:textId="77777777" w:rsidTr="00C773BB">
        <w:trPr>
          <w:gridAfter w:val="1"/>
          <w:wAfter w:w="36" w:type="dxa"/>
          <w:trHeight w:val="450"/>
          <w:jc w:val="center"/>
        </w:trPr>
        <w:tc>
          <w:tcPr>
            <w:tcW w:w="1196" w:type="dxa"/>
            <w:vMerge/>
            <w:tcBorders>
              <w:top w:val="single" w:sz="8" w:space="0" w:color="auto"/>
              <w:left w:val="single" w:sz="8" w:space="0" w:color="auto"/>
              <w:bottom w:val="single" w:sz="8" w:space="0" w:color="000000"/>
              <w:right w:val="single" w:sz="8" w:space="0" w:color="auto"/>
            </w:tcBorders>
            <w:vAlign w:val="center"/>
            <w:hideMark/>
          </w:tcPr>
          <w:p w14:paraId="3B204157"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5F77858A"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202</w:t>
            </w:r>
            <w:r>
              <w:rPr>
                <w:rFonts w:ascii="Arial" w:eastAsia="Times New Roman" w:hAnsi="Arial" w:cs="Arial"/>
                <w:b/>
                <w:bCs/>
                <w:color w:val="FFFFFF"/>
                <w:sz w:val="18"/>
                <w:szCs w:val="18"/>
                <w:lang w:eastAsia="es-MX"/>
              </w:rPr>
              <w:t>3</w:t>
            </w:r>
          </w:p>
        </w:tc>
        <w:tc>
          <w:tcPr>
            <w:tcW w:w="1191"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074ADE4C" w14:textId="5D61C82D"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202</w:t>
            </w:r>
            <w:r>
              <w:rPr>
                <w:rFonts w:ascii="Arial" w:eastAsia="Times New Roman" w:hAnsi="Arial" w:cs="Arial"/>
                <w:b/>
                <w:bCs/>
                <w:color w:val="FFFFFF"/>
                <w:sz w:val="18"/>
                <w:szCs w:val="18"/>
                <w:lang w:eastAsia="es-MX"/>
              </w:rPr>
              <w:t>4</w:t>
            </w:r>
          </w:p>
        </w:tc>
        <w:tc>
          <w:tcPr>
            <w:tcW w:w="1192" w:type="dxa"/>
            <w:vMerge/>
            <w:tcBorders>
              <w:top w:val="single" w:sz="8" w:space="0" w:color="auto"/>
              <w:left w:val="nil"/>
              <w:bottom w:val="single" w:sz="8" w:space="0" w:color="000000"/>
              <w:right w:val="single" w:sz="8" w:space="0" w:color="auto"/>
            </w:tcBorders>
            <w:vAlign w:val="center"/>
            <w:hideMark/>
          </w:tcPr>
          <w:p w14:paraId="5E3EB0F2"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single" w:sz="8" w:space="0" w:color="auto"/>
              <w:left w:val="single" w:sz="8" w:space="0" w:color="auto"/>
              <w:bottom w:val="single" w:sz="8" w:space="0" w:color="000000"/>
              <w:right w:val="single" w:sz="8" w:space="0" w:color="auto"/>
            </w:tcBorders>
            <w:vAlign w:val="center"/>
            <w:hideMark/>
          </w:tcPr>
          <w:p w14:paraId="26171B9E" w14:textId="77777777" w:rsidR="00FD454B" w:rsidRPr="00AB1FEC" w:rsidRDefault="00FD454B" w:rsidP="00C773BB">
            <w:pPr>
              <w:ind w:right="0"/>
              <w:jc w:val="left"/>
              <w:rPr>
                <w:rFonts w:ascii="Arial" w:eastAsia="Times New Roman" w:hAnsi="Arial" w:cs="Arial"/>
                <w:b/>
                <w:bCs/>
                <w:color w:val="FFFFFF"/>
                <w:sz w:val="18"/>
                <w:szCs w:val="18"/>
                <w:lang w:eastAsia="es-MX"/>
              </w:rPr>
            </w:pPr>
          </w:p>
        </w:tc>
      </w:tr>
      <w:tr w:rsidR="00FD454B" w:rsidRPr="00AB1FEC" w14:paraId="1F012AEC" w14:textId="77777777" w:rsidTr="00C773BB">
        <w:trPr>
          <w:trHeight w:val="315"/>
          <w:jc w:val="center"/>
        </w:trPr>
        <w:tc>
          <w:tcPr>
            <w:tcW w:w="1196" w:type="dxa"/>
            <w:vMerge/>
            <w:tcBorders>
              <w:top w:val="single" w:sz="8" w:space="0" w:color="auto"/>
              <w:left w:val="single" w:sz="8" w:space="0" w:color="auto"/>
              <w:bottom w:val="single" w:sz="8" w:space="0" w:color="000000"/>
              <w:right w:val="single" w:sz="8" w:space="0" w:color="auto"/>
            </w:tcBorders>
            <w:vAlign w:val="center"/>
            <w:hideMark/>
          </w:tcPr>
          <w:p w14:paraId="7BF75C2E"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tcBorders>
              <w:top w:val="nil"/>
              <w:left w:val="single" w:sz="8" w:space="0" w:color="auto"/>
              <w:bottom w:val="single" w:sz="8" w:space="0" w:color="000000"/>
              <w:right w:val="single" w:sz="8" w:space="0" w:color="auto"/>
            </w:tcBorders>
            <w:vAlign w:val="center"/>
            <w:hideMark/>
          </w:tcPr>
          <w:p w14:paraId="5B983DE1"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tcBorders>
              <w:top w:val="nil"/>
              <w:left w:val="single" w:sz="8" w:space="0" w:color="auto"/>
              <w:bottom w:val="single" w:sz="8" w:space="0" w:color="000000"/>
              <w:right w:val="single" w:sz="8" w:space="0" w:color="auto"/>
            </w:tcBorders>
            <w:vAlign w:val="center"/>
            <w:hideMark/>
          </w:tcPr>
          <w:p w14:paraId="7A8AD39A"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2" w:type="dxa"/>
            <w:vMerge/>
            <w:tcBorders>
              <w:top w:val="single" w:sz="8" w:space="0" w:color="auto"/>
              <w:left w:val="nil"/>
              <w:bottom w:val="single" w:sz="8" w:space="0" w:color="000000"/>
              <w:right w:val="single" w:sz="8" w:space="0" w:color="auto"/>
            </w:tcBorders>
            <w:vAlign w:val="center"/>
            <w:hideMark/>
          </w:tcPr>
          <w:p w14:paraId="3AE4A63E"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single" w:sz="8" w:space="0" w:color="auto"/>
              <w:left w:val="single" w:sz="8" w:space="0" w:color="auto"/>
              <w:bottom w:val="single" w:sz="8" w:space="0" w:color="000000"/>
              <w:right w:val="single" w:sz="8" w:space="0" w:color="auto"/>
            </w:tcBorders>
            <w:vAlign w:val="center"/>
            <w:hideMark/>
          </w:tcPr>
          <w:p w14:paraId="70CA768E"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36" w:type="dxa"/>
            <w:tcBorders>
              <w:top w:val="nil"/>
              <w:left w:val="nil"/>
              <w:bottom w:val="nil"/>
              <w:right w:val="nil"/>
            </w:tcBorders>
            <w:shd w:val="clear" w:color="auto" w:fill="auto"/>
            <w:noWrap/>
            <w:vAlign w:val="bottom"/>
            <w:hideMark/>
          </w:tcPr>
          <w:p w14:paraId="22332438" w14:textId="77777777" w:rsidR="00FD454B" w:rsidRPr="00AB1FEC" w:rsidRDefault="00FD454B" w:rsidP="00C773BB">
            <w:pPr>
              <w:ind w:right="0"/>
              <w:rPr>
                <w:rFonts w:ascii="Arial" w:eastAsia="Times New Roman" w:hAnsi="Arial" w:cs="Arial"/>
                <w:b/>
                <w:bCs/>
                <w:color w:val="FFFFFF"/>
                <w:sz w:val="18"/>
                <w:szCs w:val="18"/>
                <w:lang w:eastAsia="es-MX"/>
              </w:rPr>
            </w:pPr>
          </w:p>
        </w:tc>
      </w:tr>
      <w:tr w:rsidR="00FD454B" w:rsidRPr="00AB1FEC" w14:paraId="47D2788E" w14:textId="77777777" w:rsidTr="00C773BB">
        <w:trPr>
          <w:trHeight w:val="315"/>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AD86A84" w14:textId="77777777" w:rsidR="00FD454B" w:rsidRPr="00AB1FEC" w:rsidRDefault="00FD454B" w:rsidP="00C773BB">
            <w:pPr>
              <w:ind w:right="0"/>
              <w:jc w:val="left"/>
              <w:rPr>
                <w:rFonts w:ascii="Arial" w:eastAsia="Times New Roman" w:hAnsi="Arial" w:cs="Arial"/>
                <w:color w:val="000000"/>
                <w:sz w:val="18"/>
                <w:szCs w:val="18"/>
                <w:lang w:eastAsia="es-MX"/>
              </w:rPr>
            </w:pPr>
            <w:r w:rsidRPr="00AB1FEC">
              <w:rPr>
                <w:rFonts w:ascii="Arial" w:eastAsia="Times New Roman" w:hAnsi="Arial" w:cs="Arial"/>
                <w:color w:val="000000"/>
                <w:sz w:val="18"/>
                <w:szCs w:val="18"/>
                <w:lang w:eastAsia="es-MX"/>
              </w:rPr>
              <w:t> Veracruz</w:t>
            </w:r>
          </w:p>
        </w:tc>
        <w:tc>
          <w:tcPr>
            <w:tcW w:w="1191" w:type="dxa"/>
            <w:tcBorders>
              <w:top w:val="nil"/>
              <w:left w:val="nil"/>
              <w:bottom w:val="single" w:sz="8" w:space="0" w:color="auto"/>
              <w:right w:val="single" w:sz="8" w:space="0" w:color="auto"/>
            </w:tcBorders>
            <w:shd w:val="clear" w:color="auto" w:fill="auto"/>
            <w:noWrap/>
            <w:vAlign w:val="center"/>
            <w:hideMark/>
          </w:tcPr>
          <w:p w14:paraId="2B7B0812" w14:textId="77777777" w:rsidR="00FD454B" w:rsidRPr="00AB1FEC" w:rsidRDefault="00FD454B"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16,762</w:t>
            </w:r>
          </w:p>
        </w:tc>
        <w:tc>
          <w:tcPr>
            <w:tcW w:w="1191" w:type="dxa"/>
            <w:tcBorders>
              <w:top w:val="nil"/>
              <w:left w:val="nil"/>
              <w:bottom w:val="single" w:sz="8" w:space="0" w:color="auto"/>
              <w:right w:val="single" w:sz="8" w:space="0" w:color="auto"/>
            </w:tcBorders>
            <w:shd w:val="clear" w:color="auto" w:fill="auto"/>
            <w:noWrap/>
            <w:vAlign w:val="center"/>
            <w:hideMark/>
          </w:tcPr>
          <w:p w14:paraId="29F16445" w14:textId="14EB1887" w:rsidR="00FD454B" w:rsidRPr="00AB1FEC" w:rsidRDefault="00873DB0"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25,140</w:t>
            </w:r>
          </w:p>
        </w:tc>
        <w:tc>
          <w:tcPr>
            <w:tcW w:w="1192" w:type="dxa"/>
            <w:tcBorders>
              <w:top w:val="nil"/>
              <w:left w:val="nil"/>
              <w:bottom w:val="single" w:sz="8" w:space="0" w:color="auto"/>
              <w:right w:val="single" w:sz="8" w:space="0" w:color="auto"/>
            </w:tcBorders>
            <w:shd w:val="clear" w:color="auto" w:fill="auto"/>
            <w:noWrap/>
            <w:vAlign w:val="center"/>
            <w:hideMark/>
          </w:tcPr>
          <w:p w14:paraId="2CA07AB7" w14:textId="379D7DA5" w:rsidR="00FD454B" w:rsidRPr="00AB1FEC" w:rsidRDefault="00D62887"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8,378</w:t>
            </w:r>
          </w:p>
        </w:tc>
        <w:tc>
          <w:tcPr>
            <w:tcW w:w="1194" w:type="dxa"/>
            <w:tcBorders>
              <w:top w:val="nil"/>
              <w:left w:val="nil"/>
              <w:bottom w:val="single" w:sz="8" w:space="0" w:color="auto"/>
              <w:right w:val="single" w:sz="8" w:space="0" w:color="auto"/>
            </w:tcBorders>
            <w:shd w:val="clear" w:color="auto" w:fill="auto"/>
            <w:noWrap/>
            <w:vAlign w:val="center"/>
            <w:hideMark/>
          </w:tcPr>
          <w:p w14:paraId="23909B8B" w14:textId="2E222284" w:rsidR="00FD454B" w:rsidRPr="00AB1FEC" w:rsidRDefault="00D62887"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49.98%</w:t>
            </w:r>
          </w:p>
        </w:tc>
        <w:tc>
          <w:tcPr>
            <w:tcW w:w="36" w:type="dxa"/>
            <w:vAlign w:val="center"/>
            <w:hideMark/>
          </w:tcPr>
          <w:p w14:paraId="7DABEDE5" w14:textId="77777777" w:rsidR="00FD454B" w:rsidRPr="00AB1FEC" w:rsidRDefault="00FD454B" w:rsidP="00C773BB">
            <w:pPr>
              <w:ind w:right="0"/>
              <w:jc w:val="left"/>
              <w:rPr>
                <w:rFonts w:ascii="Times New Roman" w:eastAsia="Times New Roman" w:hAnsi="Times New Roman"/>
                <w:sz w:val="20"/>
                <w:szCs w:val="20"/>
                <w:lang w:eastAsia="es-MX"/>
              </w:rPr>
            </w:pPr>
          </w:p>
        </w:tc>
      </w:tr>
      <w:tr w:rsidR="00FD454B" w:rsidRPr="00AB1FEC" w14:paraId="4D3AB973" w14:textId="77777777" w:rsidTr="00C773BB">
        <w:trPr>
          <w:trHeight w:val="300"/>
          <w:jc w:val="center"/>
        </w:trPr>
        <w:tc>
          <w:tcPr>
            <w:tcW w:w="1196"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7067BDEB"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 xml:space="preserve">Municipio </w:t>
            </w:r>
          </w:p>
        </w:tc>
        <w:tc>
          <w:tcPr>
            <w:tcW w:w="2382" w:type="dxa"/>
            <w:gridSpan w:val="2"/>
            <w:tcBorders>
              <w:top w:val="single" w:sz="8" w:space="0" w:color="auto"/>
              <w:left w:val="nil"/>
              <w:bottom w:val="nil"/>
              <w:right w:val="single" w:sz="8" w:space="0" w:color="000000"/>
            </w:tcBorders>
            <w:shd w:val="clear" w:color="000000" w:fill="A6A6A6"/>
            <w:vAlign w:val="center"/>
            <w:hideMark/>
          </w:tcPr>
          <w:p w14:paraId="56EDD482"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 xml:space="preserve">Cuentas </w:t>
            </w:r>
          </w:p>
        </w:tc>
        <w:tc>
          <w:tcPr>
            <w:tcW w:w="1192" w:type="dxa"/>
            <w:vMerge w:val="restart"/>
            <w:tcBorders>
              <w:top w:val="nil"/>
              <w:left w:val="nil"/>
              <w:bottom w:val="single" w:sz="8" w:space="0" w:color="000000"/>
              <w:right w:val="single" w:sz="8" w:space="0" w:color="auto"/>
            </w:tcBorders>
            <w:shd w:val="clear" w:color="000000" w:fill="A6A6A6"/>
            <w:vAlign w:val="center"/>
            <w:hideMark/>
          </w:tcPr>
          <w:p w14:paraId="7CFE6E0B"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Var. Abs.</w:t>
            </w:r>
          </w:p>
        </w:tc>
        <w:tc>
          <w:tcPr>
            <w:tcW w:w="1194"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47D08EA3"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Var. Rel.</w:t>
            </w:r>
          </w:p>
        </w:tc>
        <w:tc>
          <w:tcPr>
            <w:tcW w:w="36" w:type="dxa"/>
            <w:vAlign w:val="center"/>
            <w:hideMark/>
          </w:tcPr>
          <w:p w14:paraId="26FCD9C2" w14:textId="77777777" w:rsidR="00FD454B" w:rsidRPr="00AB1FEC" w:rsidRDefault="00FD454B" w:rsidP="00C773BB">
            <w:pPr>
              <w:ind w:right="0"/>
              <w:jc w:val="left"/>
              <w:rPr>
                <w:rFonts w:ascii="Times New Roman" w:eastAsia="Times New Roman" w:hAnsi="Times New Roman"/>
                <w:sz w:val="20"/>
                <w:szCs w:val="20"/>
                <w:lang w:eastAsia="es-MX"/>
              </w:rPr>
            </w:pPr>
          </w:p>
        </w:tc>
      </w:tr>
      <w:tr w:rsidR="00FD454B" w:rsidRPr="00AB1FEC" w14:paraId="617A52D4" w14:textId="77777777" w:rsidTr="00C773BB">
        <w:trPr>
          <w:trHeight w:val="315"/>
          <w:jc w:val="center"/>
        </w:trPr>
        <w:tc>
          <w:tcPr>
            <w:tcW w:w="1196" w:type="dxa"/>
            <w:vMerge/>
            <w:tcBorders>
              <w:top w:val="nil"/>
              <w:left w:val="single" w:sz="8" w:space="0" w:color="auto"/>
              <w:bottom w:val="single" w:sz="8" w:space="0" w:color="000000"/>
              <w:right w:val="single" w:sz="8" w:space="0" w:color="auto"/>
            </w:tcBorders>
            <w:vAlign w:val="center"/>
            <w:hideMark/>
          </w:tcPr>
          <w:p w14:paraId="60E93FAD"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2382" w:type="dxa"/>
            <w:gridSpan w:val="2"/>
            <w:tcBorders>
              <w:top w:val="nil"/>
              <w:left w:val="nil"/>
              <w:bottom w:val="single" w:sz="8" w:space="0" w:color="auto"/>
              <w:right w:val="single" w:sz="8" w:space="0" w:color="000000"/>
            </w:tcBorders>
            <w:shd w:val="clear" w:color="000000" w:fill="A6A6A6"/>
            <w:vAlign w:val="center"/>
            <w:hideMark/>
          </w:tcPr>
          <w:p w14:paraId="6F3CB3F3"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Tipo popular</w:t>
            </w:r>
          </w:p>
        </w:tc>
        <w:tc>
          <w:tcPr>
            <w:tcW w:w="1192" w:type="dxa"/>
            <w:vMerge/>
            <w:tcBorders>
              <w:top w:val="nil"/>
              <w:left w:val="nil"/>
              <w:bottom w:val="single" w:sz="8" w:space="0" w:color="000000"/>
              <w:right w:val="single" w:sz="8" w:space="0" w:color="auto"/>
            </w:tcBorders>
            <w:vAlign w:val="center"/>
            <w:hideMark/>
          </w:tcPr>
          <w:p w14:paraId="06D064E5"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03BB6329"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36" w:type="dxa"/>
            <w:vAlign w:val="center"/>
            <w:hideMark/>
          </w:tcPr>
          <w:p w14:paraId="46D7D7B0" w14:textId="77777777" w:rsidR="00FD454B" w:rsidRPr="00AB1FEC" w:rsidRDefault="00FD454B" w:rsidP="00C773BB">
            <w:pPr>
              <w:ind w:right="0"/>
              <w:jc w:val="left"/>
              <w:rPr>
                <w:rFonts w:ascii="Times New Roman" w:eastAsia="Times New Roman" w:hAnsi="Times New Roman"/>
                <w:sz w:val="20"/>
                <w:szCs w:val="20"/>
                <w:lang w:eastAsia="es-MX"/>
              </w:rPr>
            </w:pPr>
          </w:p>
        </w:tc>
      </w:tr>
      <w:tr w:rsidR="00FD454B" w:rsidRPr="00AB1FEC" w14:paraId="3C0AFABB" w14:textId="77777777" w:rsidTr="00C773BB">
        <w:trPr>
          <w:trHeight w:val="300"/>
          <w:jc w:val="center"/>
        </w:trPr>
        <w:tc>
          <w:tcPr>
            <w:tcW w:w="1196" w:type="dxa"/>
            <w:vMerge/>
            <w:tcBorders>
              <w:top w:val="nil"/>
              <w:left w:val="single" w:sz="8" w:space="0" w:color="auto"/>
              <w:bottom w:val="single" w:sz="8" w:space="0" w:color="000000"/>
              <w:right w:val="single" w:sz="8" w:space="0" w:color="auto"/>
            </w:tcBorders>
            <w:vAlign w:val="center"/>
            <w:hideMark/>
          </w:tcPr>
          <w:p w14:paraId="2CC86B54"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1FCA46F7" w14:textId="77777777"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202</w:t>
            </w:r>
            <w:r>
              <w:rPr>
                <w:rFonts w:ascii="Arial" w:eastAsia="Times New Roman" w:hAnsi="Arial" w:cs="Arial"/>
                <w:b/>
                <w:bCs/>
                <w:color w:val="FFFFFF"/>
                <w:sz w:val="18"/>
                <w:szCs w:val="18"/>
                <w:lang w:eastAsia="es-MX"/>
              </w:rPr>
              <w:t>3</w:t>
            </w:r>
          </w:p>
        </w:tc>
        <w:tc>
          <w:tcPr>
            <w:tcW w:w="1191"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2E113637" w14:textId="6DA4E43E" w:rsidR="00FD454B" w:rsidRPr="00AB1FEC" w:rsidRDefault="00FD454B" w:rsidP="00C773BB">
            <w:pPr>
              <w:ind w:right="0"/>
              <w:rPr>
                <w:rFonts w:ascii="Arial" w:eastAsia="Times New Roman" w:hAnsi="Arial" w:cs="Arial"/>
                <w:b/>
                <w:bCs/>
                <w:color w:val="FFFFFF"/>
                <w:sz w:val="18"/>
                <w:szCs w:val="18"/>
                <w:lang w:eastAsia="es-MX"/>
              </w:rPr>
            </w:pPr>
            <w:r w:rsidRPr="00AB1FEC">
              <w:rPr>
                <w:rFonts w:ascii="Arial" w:eastAsia="Times New Roman" w:hAnsi="Arial" w:cs="Arial"/>
                <w:b/>
                <w:bCs/>
                <w:color w:val="FFFFFF"/>
                <w:sz w:val="18"/>
                <w:szCs w:val="18"/>
                <w:lang w:eastAsia="es-MX"/>
              </w:rPr>
              <w:t>202</w:t>
            </w:r>
            <w:r>
              <w:rPr>
                <w:rFonts w:ascii="Arial" w:eastAsia="Times New Roman" w:hAnsi="Arial" w:cs="Arial"/>
                <w:b/>
                <w:bCs/>
                <w:color w:val="FFFFFF"/>
                <w:sz w:val="18"/>
                <w:szCs w:val="18"/>
                <w:lang w:eastAsia="es-MX"/>
              </w:rPr>
              <w:t>4</w:t>
            </w:r>
          </w:p>
        </w:tc>
        <w:tc>
          <w:tcPr>
            <w:tcW w:w="1192" w:type="dxa"/>
            <w:vMerge/>
            <w:tcBorders>
              <w:top w:val="nil"/>
              <w:left w:val="nil"/>
              <w:bottom w:val="single" w:sz="8" w:space="0" w:color="000000"/>
              <w:right w:val="single" w:sz="8" w:space="0" w:color="auto"/>
            </w:tcBorders>
            <w:vAlign w:val="center"/>
            <w:hideMark/>
          </w:tcPr>
          <w:p w14:paraId="6559B691"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3DBDC9AB"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36" w:type="dxa"/>
            <w:vAlign w:val="center"/>
            <w:hideMark/>
          </w:tcPr>
          <w:p w14:paraId="34EE7BAA" w14:textId="77777777" w:rsidR="00FD454B" w:rsidRPr="00AB1FEC" w:rsidRDefault="00FD454B" w:rsidP="00C773BB">
            <w:pPr>
              <w:ind w:right="0"/>
              <w:jc w:val="left"/>
              <w:rPr>
                <w:rFonts w:ascii="Times New Roman" w:eastAsia="Times New Roman" w:hAnsi="Times New Roman"/>
                <w:sz w:val="20"/>
                <w:szCs w:val="20"/>
                <w:lang w:eastAsia="es-MX"/>
              </w:rPr>
            </w:pPr>
          </w:p>
        </w:tc>
      </w:tr>
      <w:tr w:rsidR="00FD454B" w:rsidRPr="00AB1FEC" w14:paraId="30B6AE08" w14:textId="77777777" w:rsidTr="00C773BB">
        <w:trPr>
          <w:trHeight w:val="315"/>
          <w:jc w:val="center"/>
        </w:trPr>
        <w:tc>
          <w:tcPr>
            <w:tcW w:w="1196" w:type="dxa"/>
            <w:vMerge/>
            <w:tcBorders>
              <w:top w:val="nil"/>
              <w:left w:val="single" w:sz="8" w:space="0" w:color="auto"/>
              <w:bottom w:val="single" w:sz="8" w:space="0" w:color="000000"/>
              <w:right w:val="single" w:sz="8" w:space="0" w:color="auto"/>
            </w:tcBorders>
            <w:vAlign w:val="center"/>
            <w:hideMark/>
          </w:tcPr>
          <w:p w14:paraId="0C41A6D6"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tcBorders>
              <w:top w:val="nil"/>
              <w:left w:val="single" w:sz="8" w:space="0" w:color="auto"/>
              <w:bottom w:val="single" w:sz="8" w:space="0" w:color="000000"/>
              <w:right w:val="single" w:sz="8" w:space="0" w:color="auto"/>
            </w:tcBorders>
            <w:vAlign w:val="center"/>
            <w:hideMark/>
          </w:tcPr>
          <w:p w14:paraId="4DAA1D7C"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1" w:type="dxa"/>
            <w:vMerge/>
            <w:tcBorders>
              <w:top w:val="nil"/>
              <w:left w:val="single" w:sz="8" w:space="0" w:color="auto"/>
              <w:bottom w:val="single" w:sz="8" w:space="0" w:color="000000"/>
              <w:right w:val="single" w:sz="8" w:space="0" w:color="auto"/>
            </w:tcBorders>
            <w:vAlign w:val="center"/>
            <w:hideMark/>
          </w:tcPr>
          <w:p w14:paraId="1239EB4D"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2" w:type="dxa"/>
            <w:vMerge/>
            <w:tcBorders>
              <w:top w:val="nil"/>
              <w:left w:val="nil"/>
              <w:bottom w:val="single" w:sz="8" w:space="0" w:color="000000"/>
              <w:right w:val="single" w:sz="8" w:space="0" w:color="auto"/>
            </w:tcBorders>
            <w:vAlign w:val="center"/>
            <w:hideMark/>
          </w:tcPr>
          <w:p w14:paraId="5304A6DD"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74824778" w14:textId="77777777" w:rsidR="00FD454B" w:rsidRPr="00AB1FEC" w:rsidRDefault="00FD454B" w:rsidP="00C773BB">
            <w:pPr>
              <w:ind w:right="0"/>
              <w:jc w:val="left"/>
              <w:rPr>
                <w:rFonts w:ascii="Arial" w:eastAsia="Times New Roman" w:hAnsi="Arial" w:cs="Arial"/>
                <w:b/>
                <w:bCs/>
                <w:color w:val="FFFFFF"/>
                <w:sz w:val="18"/>
                <w:szCs w:val="18"/>
                <w:lang w:eastAsia="es-MX"/>
              </w:rPr>
            </w:pPr>
          </w:p>
        </w:tc>
        <w:tc>
          <w:tcPr>
            <w:tcW w:w="36" w:type="dxa"/>
            <w:tcBorders>
              <w:top w:val="nil"/>
              <w:left w:val="nil"/>
              <w:bottom w:val="nil"/>
              <w:right w:val="nil"/>
            </w:tcBorders>
            <w:shd w:val="clear" w:color="auto" w:fill="auto"/>
            <w:noWrap/>
            <w:vAlign w:val="bottom"/>
            <w:hideMark/>
          </w:tcPr>
          <w:p w14:paraId="44FCC8F8" w14:textId="77777777" w:rsidR="00FD454B" w:rsidRPr="00AB1FEC" w:rsidRDefault="00FD454B" w:rsidP="00C773BB">
            <w:pPr>
              <w:ind w:right="0"/>
              <w:rPr>
                <w:rFonts w:ascii="Arial" w:eastAsia="Times New Roman" w:hAnsi="Arial" w:cs="Arial"/>
                <w:b/>
                <w:bCs/>
                <w:color w:val="FFFFFF"/>
                <w:sz w:val="18"/>
                <w:szCs w:val="18"/>
                <w:lang w:eastAsia="es-MX"/>
              </w:rPr>
            </w:pPr>
          </w:p>
        </w:tc>
      </w:tr>
      <w:tr w:rsidR="00FD454B" w:rsidRPr="00AB1FEC" w14:paraId="361F1A6F" w14:textId="77777777" w:rsidTr="00C773BB">
        <w:trPr>
          <w:trHeight w:val="315"/>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B3F3DDF" w14:textId="77777777" w:rsidR="00FD454B" w:rsidRPr="00AB1FEC" w:rsidRDefault="00FD454B" w:rsidP="00C773BB">
            <w:pPr>
              <w:ind w:right="0"/>
              <w:jc w:val="left"/>
              <w:rPr>
                <w:rFonts w:ascii="Arial" w:eastAsia="Times New Roman" w:hAnsi="Arial" w:cs="Arial"/>
                <w:color w:val="000000"/>
                <w:sz w:val="18"/>
                <w:szCs w:val="18"/>
                <w:lang w:eastAsia="es-MX"/>
              </w:rPr>
            </w:pPr>
            <w:r w:rsidRPr="00AB1FEC">
              <w:rPr>
                <w:rFonts w:ascii="Arial" w:eastAsia="Times New Roman" w:hAnsi="Arial" w:cs="Arial"/>
                <w:color w:val="000000"/>
                <w:sz w:val="18"/>
                <w:szCs w:val="18"/>
                <w:lang w:eastAsia="es-MX"/>
              </w:rPr>
              <w:t> Veracruz</w:t>
            </w:r>
          </w:p>
        </w:tc>
        <w:tc>
          <w:tcPr>
            <w:tcW w:w="1191" w:type="dxa"/>
            <w:tcBorders>
              <w:top w:val="nil"/>
              <w:left w:val="nil"/>
              <w:bottom w:val="single" w:sz="8" w:space="0" w:color="auto"/>
              <w:right w:val="single" w:sz="8" w:space="0" w:color="auto"/>
            </w:tcBorders>
            <w:shd w:val="clear" w:color="auto" w:fill="auto"/>
            <w:noWrap/>
            <w:vAlign w:val="center"/>
            <w:hideMark/>
          </w:tcPr>
          <w:p w14:paraId="74359376" w14:textId="77777777" w:rsidR="00FD454B" w:rsidRPr="00AB1FEC" w:rsidRDefault="00FD454B"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7,175</w:t>
            </w:r>
          </w:p>
        </w:tc>
        <w:tc>
          <w:tcPr>
            <w:tcW w:w="1191" w:type="dxa"/>
            <w:tcBorders>
              <w:top w:val="nil"/>
              <w:left w:val="nil"/>
              <w:bottom w:val="single" w:sz="8" w:space="0" w:color="auto"/>
              <w:right w:val="single" w:sz="8" w:space="0" w:color="auto"/>
            </w:tcBorders>
            <w:shd w:val="clear" w:color="auto" w:fill="auto"/>
            <w:noWrap/>
            <w:vAlign w:val="center"/>
            <w:hideMark/>
          </w:tcPr>
          <w:p w14:paraId="46671505" w14:textId="3340D34D" w:rsidR="00FD454B" w:rsidRPr="00AB1FEC" w:rsidRDefault="0036101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9,482</w:t>
            </w:r>
          </w:p>
        </w:tc>
        <w:tc>
          <w:tcPr>
            <w:tcW w:w="1192" w:type="dxa"/>
            <w:tcBorders>
              <w:top w:val="nil"/>
              <w:left w:val="nil"/>
              <w:bottom w:val="single" w:sz="8" w:space="0" w:color="auto"/>
              <w:right w:val="single" w:sz="8" w:space="0" w:color="auto"/>
            </w:tcBorders>
            <w:shd w:val="clear" w:color="auto" w:fill="auto"/>
            <w:noWrap/>
            <w:vAlign w:val="center"/>
            <w:hideMark/>
          </w:tcPr>
          <w:p w14:paraId="7B9E4418" w14:textId="167153E4" w:rsidR="00FD454B" w:rsidRPr="00AB1FEC" w:rsidRDefault="0036101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2,307</w:t>
            </w:r>
          </w:p>
        </w:tc>
        <w:tc>
          <w:tcPr>
            <w:tcW w:w="1194" w:type="dxa"/>
            <w:tcBorders>
              <w:top w:val="nil"/>
              <w:left w:val="nil"/>
              <w:bottom w:val="single" w:sz="8" w:space="0" w:color="auto"/>
              <w:right w:val="single" w:sz="8" w:space="0" w:color="auto"/>
            </w:tcBorders>
            <w:shd w:val="clear" w:color="auto" w:fill="auto"/>
            <w:noWrap/>
            <w:vAlign w:val="center"/>
            <w:hideMark/>
          </w:tcPr>
          <w:p w14:paraId="01A7406A" w14:textId="623B1A1F" w:rsidR="00FD454B" w:rsidRPr="00AB1FEC" w:rsidRDefault="00361019" w:rsidP="00C773BB">
            <w:pPr>
              <w:ind w:right="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32.15%</w:t>
            </w:r>
          </w:p>
        </w:tc>
        <w:tc>
          <w:tcPr>
            <w:tcW w:w="36" w:type="dxa"/>
            <w:vAlign w:val="center"/>
            <w:hideMark/>
          </w:tcPr>
          <w:p w14:paraId="085EC102" w14:textId="77777777" w:rsidR="00FD454B" w:rsidRPr="00AB1FEC" w:rsidRDefault="00FD454B" w:rsidP="00C773BB">
            <w:pPr>
              <w:ind w:right="0"/>
              <w:jc w:val="left"/>
              <w:rPr>
                <w:rFonts w:ascii="Times New Roman" w:eastAsia="Times New Roman" w:hAnsi="Times New Roman"/>
                <w:sz w:val="20"/>
                <w:szCs w:val="20"/>
                <w:lang w:eastAsia="es-MX"/>
              </w:rPr>
            </w:pPr>
          </w:p>
        </w:tc>
      </w:tr>
    </w:tbl>
    <w:p w14:paraId="6245D5D9" w14:textId="77777777" w:rsidR="00FD454B" w:rsidRPr="004B12E4" w:rsidRDefault="00FD454B" w:rsidP="00FD454B">
      <w:pPr>
        <w:jc w:val="both"/>
        <w:rPr>
          <w:rFonts w:ascii="Arial" w:hAnsi="Arial" w:cs="Arial"/>
        </w:rPr>
      </w:pPr>
    </w:p>
    <w:p w14:paraId="0DA81485" w14:textId="77777777" w:rsidR="00665980" w:rsidRPr="004B12E4" w:rsidRDefault="00665980" w:rsidP="00665980">
      <w:pPr>
        <w:jc w:val="both"/>
        <w:rPr>
          <w:rFonts w:ascii="Arial" w:hAnsi="Arial" w:cs="Arial"/>
        </w:rPr>
      </w:pPr>
    </w:p>
    <w:p w14:paraId="5E663900" w14:textId="77777777" w:rsidR="00FA0A85" w:rsidRDefault="00FA0A85" w:rsidP="00665980">
      <w:pPr>
        <w:jc w:val="both"/>
        <w:rPr>
          <w:rFonts w:ascii="Arial" w:hAnsi="Arial" w:cs="Arial"/>
        </w:rPr>
      </w:pPr>
    </w:p>
    <w:p w14:paraId="7814755B" w14:textId="77777777" w:rsidR="00FA0A85" w:rsidRDefault="00FA0A85" w:rsidP="00665980">
      <w:pPr>
        <w:jc w:val="both"/>
        <w:rPr>
          <w:rFonts w:ascii="Arial" w:hAnsi="Arial" w:cs="Arial"/>
        </w:rPr>
      </w:pPr>
    </w:p>
    <w:p w14:paraId="13FCC062" w14:textId="77777777" w:rsidR="00FA0A85" w:rsidRDefault="00FA0A85" w:rsidP="00665980">
      <w:pPr>
        <w:jc w:val="both"/>
        <w:rPr>
          <w:rFonts w:ascii="Arial" w:hAnsi="Arial" w:cs="Arial"/>
        </w:rPr>
      </w:pPr>
    </w:p>
    <w:p w14:paraId="0427EB44" w14:textId="43E71AD2" w:rsidR="00665980" w:rsidRDefault="00665980" w:rsidP="00665980">
      <w:pPr>
        <w:jc w:val="both"/>
        <w:rPr>
          <w:rFonts w:ascii="Arial" w:hAnsi="Arial" w:cs="Arial"/>
        </w:rPr>
      </w:pPr>
      <w:r w:rsidRPr="004B12E4">
        <w:rPr>
          <w:rFonts w:ascii="Arial" w:hAnsi="Arial" w:cs="Arial"/>
        </w:rPr>
        <w:lastRenderedPageBreak/>
        <w:t xml:space="preserve">6. Si en los dos últimos años se realizaron cambios en los ordenamientos jurídicos del impuesto predial, es necesario que elabore un cuadro en el que se describa cuales </w:t>
      </w:r>
      <w:r>
        <w:rPr>
          <w:rFonts w:ascii="Arial" w:hAnsi="Arial" w:cs="Arial"/>
        </w:rPr>
        <w:t xml:space="preserve">fueron éstos.  </w:t>
      </w:r>
    </w:p>
    <w:p w14:paraId="05CFA431" w14:textId="2F96B5A5" w:rsidR="00FA0A85" w:rsidRPr="004B12E4" w:rsidRDefault="00FA0A85" w:rsidP="00FA0A85">
      <w:pPr>
        <w:jc w:val="both"/>
        <w:rPr>
          <w:rFonts w:ascii="Arial" w:hAnsi="Arial" w:cs="Arial"/>
        </w:rPr>
      </w:pPr>
      <w:r>
        <w:rPr>
          <w:rFonts w:ascii="Arial" w:hAnsi="Arial" w:cs="Arial"/>
          <w:b/>
        </w:rPr>
        <w:t>No se realizaron cambios en el periodo 2023-2024</w:t>
      </w:r>
    </w:p>
    <w:p w14:paraId="41A22E1B" w14:textId="77777777" w:rsidR="00FA0A85" w:rsidRPr="004B12E4" w:rsidRDefault="00FA0A85" w:rsidP="00665980">
      <w:pPr>
        <w:jc w:val="both"/>
        <w:rPr>
          <w:rFonts w:ascii="Arial" w:hAnsi="Arial" w:cs="Arial"/>
        </w:rPr>
      </w:pPr>
    </w:p>
    <w:p w14:paraId="0A7944FB" w14:textId="77777777" w:rsidR="00665980" w:rsidRPr="004B12E4" w:rsidRDefault="00665980" w:rsidP="00665980">
      <w:pPr>
        <w:jc w:val="both"/>
        <w:rPr>
          <w:rFonts w:ascii="Arial" w:hAnsi="Arial" w:cs="Arial"/>
        </w:rPr>
      </w:pPr>
    </w:p>
    <w:p w14:paraId="69580A47" w14:textId="77777777" w:rsidR="00665980" w:rsidRPr="004B12E4" w:rsidRDefault="00665980" w:rsidP="00665980">
      <w:pPr>
        <w:jc w:val="both"/>
        <w:rPr>
          <w:rFonts w:ascii="Arial" w:hAnsi="Arial" w:cs="Arial"/>
        </w:rPr>
      </w:pPr>
    </w:p>
    <w:p w14:paraId="718F2F5D" w14:textId="77777777" w:rsidR="00665980" w:rsidRPr="004B12E4" w:rsidRDefault="00665980" w:rsidP="00665980">
      <w:pPr>
        <w:jc w:val="both"/>
        <w:rPr>
          <w:rFonts w:ascii="Arial" w:hAnsi="Arial" w:cs="Arial"/>
        </w:rPr>
      </w:pPr>
      <w:r w:rsidRPr="004B12E4">
        <w:rPr>
          <w:rFonts w:ascii="Arial" w:hAnsi="Arial" w:cs="Arial"/>
        </w:rPr>
        <w:t>7. En el caso de que durante el transcurso del año que se informa y del año inmediato ante</w:t>
      </w:r>
      <w:r>
        <w:rPr>
          <w:rFonts w:ascii="Arial" w:hAnsi="Arial" w:cs="Arial"/>
        </w:rPr>
        <w:t>rior al que se informa, se haya</w:t>
      </w:r>
      <w:r w:rsidRPr="004B12E4">
        <w:rPr>
          <w:rFonts w:ascii="Arial" w:hAnsi="Arial" w:cs="Arial"/>
        </w:rPr>
        <w:t xml:space="preserve"> </w:t>
      </w:r>
      <w:r>
        <w:rPr>
          <w:rFonts w:ascii="Arial" w:hAnsi="Arial" w:cs="Arial"/>
        </w:rPr>
        <w:t xml:space="preserve">creado </w:t>
      </w:r>
      <w:r w:rsidRPr="004B12E4">
        <w:rPr>
          <w:rFonts w:ascii="Arial" w:hAnsi="Arial" w:cs="Arial"/>
        </w:rPr>
        <w:t>fraccionamiento</w:t>
      </w:r>
      <w:r>
        <w:rPr>
          <w:rFonts w:ascii="Arial" w:hAnsi="Arial" w:cs="Arial"/>
        </w:rPr>
        <w:t>s</w:t>
      </w:r>
      <w:r w:rsidRPr="004B12E4">
        <w:rPr>
          <w:rFonts w:ascii="Arial" w:hAnsi="Arial" w:cs="Arial"/>
        </w:rPr>
        <w:t xml:space="preserve"> o complejos </w:t>
      </w:r>
      <w:proofErr w:type="gramStart"/>
      <w:r w:rsidRPr="004B12E4">
        <w:rPr>
          <w:rFonts w:ascii="Arial" w:hAnsi="Arial" w:cs="Arial"/>
        </w:rPr>
        <w:t>casa habitacionales</w:t>
      </w:r>
      <w:proofErr w:type="gramEnd"/>
      <w:r w:rsidRPr="004B12E4">
        <w:rPr>
          <w:rFonts w:ascii="Arial" w:hAnsi="Arial" w:cs="Arial"/>
        </w:rPr>
        <w:t>, señale:</w:t>
      </w:r>
    </w:p>
    <w:p w14:paraId="1D19005E" w14:textId="77777777" w:rsidR="00665980" w:rsidRPr="004B12E4" w:rsidRDefault="00665980" w:rsidP="00665980">
      <w:pPr>
        <w:jc w:val="both"/>
        <w:rPr>
          <w:rFonts w:ascii="Arial" w:hAnsi="Arial" w:cs="Arial"/>
        </w:rPr>
      </w:pPr>
    </w:p>
    <w:p w14:paraId="632FDA1B" w14:textId="77777777" w:rsidR="00665980" w:rsidRPr="004B12E4" w:rsidRDefault="00665980" w:rsidP="00665980">
      <w:pPr>
        <w:jc w:val="both"/>
        <w:rPr>
          <w:rFonts w:ascii="Arial" w:hAnsi="Arial" w:cs="Arial"/>
        </w:rPr>
      </w:pPr>
    </w:p>
    <w:tbl>
      <w:tblPr>
        <w:tblW w:w="8489" w:type="dxa"/>
        <w:jc w:val="center"/>
        <w:tblCellMar>
          <w:left w:w="70" w:type="dxa"/>
          <w:right w:w="70" w:type="dxa"/>
        </w:tblCellMar>
        <w:tblLook w:val="04A0" w:firstRow="1" w:lastRow="0" w:firstColumn="1" w:lastColumn="0" w:noHBand="0" w:noVBand="1"/>
      </w:tblPr>
      <w:tblGrid>
        <w:gridCol w:w="1764"/>
        <w:gridCol w:w="1607"/>
        <w:gridCol w:w="1607"/>
        <w:gridCol w:w="1747"/>
        <w:gridCol w:w="1764"/>
      </w:tblGrid>
      <w:tr w:rsidR="00665980" w:rsidRPr="005C1FB2" w14:paraId="3544DADA" w14:textId="77777777" w:rsidTr="004740DC">
        <w:trPr>
          <w:trHeight w:val="322"/>
          <w:jc w:val="center"/>
        </w:trPr>
        <w:tc>
          <w:tcPr>
            <w:tcW w:w="176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DCF3458"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Municipio </w:t>
            </w:r>
          </w:p>
        </w:tc>
        <w:tc>
          <w:tcPr>
            <w:tcW w:w="1607" w:type="dxa"/>
            <w:tcBorders>
              <w:top w:val="single" w:sz="4" w:space="0" w:color="auto"/>
              <w:left w:val="nil"/>
              <w:bottom w:val="single" w:sz="4" w:space="0" w:color="auto"/>
              <w:right w:val="single" w:sz="4" w:space="0" w:color="auto"/>
            </w:tcBorders>
            <w:shd w:val="clear" w:color="000000" w:fill="A6A6A6"/>
            <w:noWrap/>
            <w:vAlign w:val="center"/>
            <w:hideMark/>
          </w:tcPr>
          <w:p w14:paraId="5117FB72"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Nombre Fracc.</w:t>
            </w:r>
          </w:p>
        </w:tc>
        <w:tc>
          <w:tcPr>
            <w:tcW w:w="1607" w:type="dxa"/>
            <w:tcBorders>
              <w:top w:val="single" w:sz="4" w:space="0" w:color="auto"/>
              <w:left w:val="nil"/>
              <w:bottom w:val="single" w:sz="4" w:space="0" w:color="auto"/>
              <w:right w:val="single" w:sz="4" w:space="0" w:color="auto"/>
            </w:tcBorders>
            <w:shd w:val="clear" w:color="000000" w:fill="A6A6A6"/>
            <w:noWrap/>
            <w:vAlign w:val="center"/>
            <w:hideMark/>
          </w:tcPr>
          <w:p w14:paraId="20161856"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No. Viviendas</w:t>
            </w:r>
          </w:p>
        </w:tc>
        <w:tc>
          <w:tcPr>
            <w:tcW w:w="1747" w:type="dxa"/>
            <w:tcBorders>
              <w:top w:val="single" w:sz="4" w:space="0" w:color="auto"/>
              <w:left w:val="nil"/>
              <w:bottom w:val="single" w:sz="4" w:space="0" w:color="auto"/>
              <w:right w:val="single" w:sz="4" w:space="0" w:color="auto"/>
            </w:tcBorders>
            <w:shd w:val="clear" w:color="000000" w:fill="A6A6A6"/>
            <w:noWrap/>
            <w:vAlign w:val="center"/>
            <w:hideMark/>
          </w:tcPr>
          <w:p w14:paraId="0AB05F81"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Tipo de viviendas</w:t>
            </w:r>
          </w:p>
        </w:tc>
        <w:tc>
          <w:tcPr>
            <w:tcW w:w="1764" w:type="dxa"/>
            <w:tcBorders>
              <w:top w:val="single" w:sz="4" w:space="0" w:color="auto"/>
              <w:left w:val="nil"/>
              <w:bottom w:val="single" w:sz="4" w:space="0" w:color="auto"/>
              <w:right w:val="single" w:sz="4" w:space="0" w:color="auto"/>
            </w:tcBorders>
            <w:shd w:val="clear" w:color="000000" w:fill="A6A6A6"/>
            <w:noWrap/>
            <w:vAlign w:val="center"/>
            <w:hideMark/>
          </w:tcPr>
          <w:p w14:paraId="2B4C9D8C"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Recaudación</w:t>
            </w:r>
          </w:p>
        </w:tc>
      </w:tr>
      <w:tr w:rsidR="002A6C31" w:rsidRPr="005C1FB2" w14:paraId="609898DB" w14:textId="77777777" w:rsidTr="004740DC">
        <w:trPr>
          <w:trHeight w:val="322"/>
          <w:jc w:val="center"/>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14:paraId="2D8CB29D" w14:textId="5F945FBA" w:rsidR="002A6C31" w:rsidRPr="005C1FB2" w:rsidRDefault="002A6C31" w:rsidP="002A6C31">
            <w:pPr>
              <w:ind w:right="0"/>
              <w:rPr>
                <w:rFonts w:ascii="Arial" w:eastAsia="Times New Roman" w:hAnsi="Arial" w:cs="Arial"/>
                <w:color w:val="000000"/>
                <w:lang w:eastAsia="es-MX"/>
              </w:rPr>
            </w:pPr>
            <w:r>
              <w:rPr>
                <w:rFonts w:ascii="Arial" w:eastAsia="Times New Roman" w:hAnsi="Arial" w:cs="Arial"/>
                <w:color w:val="000000"/>
                <w:lang w:eastAsia="es-MX"/>
              </w:rPr>
              <w:t>Veracruz</w:t>
            </w:r>
          </w:p>
        </w:tc>
        <w:tc>
          <w:tcPr>
            <w:tcW w:w="1607" w:type="dxa"/>
            <w:tcBorders>
              <w:top w:val="nil"/>
              <w:left w:val="nil"/>
              <w:bottom w:val="single" w:sz="4" w:space="0" w:color="auto"/>
              <w:right w:val="single" w:sz="4" w:space="0" w:color="auto"/>
            </w:tcBorders>
            <w:shd w:val="clear" w:color="auto" w:fill="auto"/>
            <w:noWrap/>
            <w:vAlign w:val="bottom"/>
            <w:hideMark/>
          </w:tcPr>
          <w:p w14:paraId="09AD0D93" w14:textId="54CB55AB" w:rsidR="002A6C31" w:rsidRPr="005C1FB2" w:rsidRDefault="002A6C31" w:rsidP="002A6C31">
            <w:pPr>
              <w:ind w:right="0"/>
              <w:rPr>
                <w:rFonts w:ascii="Arial" w:eastAsia="Times New Roman" w:hAnsi="Arial" w:cs="Arial"/>
                <w:color w:val="000000"/>
                <w:lang w:eastAsia="es-MX"/>
              </w:rPr>
            </w:pPr>
            <w:r>
              <w:rPr>
                <w:rFonts w:ascii="Arial" w:eastAsia="Times New Roman" w:hAnsi="Arial" w:cs="Arial"/>
                <w:color w:val="000000"/>
                <w:lang w:eastAsia="es-MX"/>
              </w:rPr>
              <w:t>Conjunto Urbano Condominal (CUC)</w:t>
            </w:r>
          </w:p>
        </w:tc>
        <w:tc>
          <w:tcPr>
            <w:tcW w:w="1607" w:type="dxa"/>
            <w:tcBorders>
              <w:top w:val="nil"/>
              <w:left w:val="nil"/>
              <w:bottom w:val="single" w:sz="4" w:space="0" w:color="auto"/>
              <w:right w:val="single" w:sz="4" w:space="0" w:color="auto"/>
            </w:tcBorders>
            <w:shd w:val="clear" w:color="auto" w:fill="auto"/>
            <w:noWrap/>
            <w:vAlign w:val="bottom"/>
            <w:hideMark/>
          </w:tcPr>
          <w:p w14:paraId="4EEE8064" w14:textId="4A6BA255" w:rsidR="002A6C31" w:rsidRPr="005C1FB2" w:rsidRDefault="002A6C31" w:rsidP="002A6C31">
            <w:pPr>
              <w:ind w:right="0"/>
              <w:rPr>
                <w:rFonts w:ascii="Arial" w:eastAsia="Times New Roman" w:hAnsi="Arial" w:cs="Arial"/>
                <w:color w:val="000000"/>
                <w:lang w:eastAsia="es-MX"/>
              </w:rPr>
            </w:pPr>
            <w:r>
              <w:rPr>
                <w:rFonts w:ascii="Arial" w:eastAsia="Times New Roman" w:hAnsi="Arial" w:cs="Arial"/>
                <w:color w:val="000000"/>
                <w:lang w:eastAsia="es-MX"/>
              </w:rPr>
              <w:t>205</w:t>
            </w:r>
          </w:p>
        </w:tc>
        <w:tc>
          <w:tcPr>
            <w:tcW w:w="1747" w:type="dxa"/>
            <w:tcBorders>
              <w:top w:val="nil"/>
              <w:left w:val="nil"/>
              <w:bottom w:val="single" w:sz="4" w:space="0" w:color="auto"/>
              <w:right w:val="single" w:sz="4" w:space="0" w:color="auto"/>
            </w:tcBorders>
            <w:shd w:val="clear" w:color="auto" w:fill="auto"/>
            <w:noWrap/>
            <w:vAlign w:val="bottom"/>
            <w:hideMark/>
          </w:tcPr>
          <w:p w14:paraId="2EC05AD0" w14:textId="5A2944CD" w:rsidR="002A6C31" w:rsidRPr="005C1FB2" w:rsidRDefault="002A6C31" w:rsidP="002A6C31">
            <w:pPr>
              <w:ind w:right="0"/>
              <w:rPr>
                <w:rFonts w:ascii="Arial" w:eastAsia="Times New Roman" w:hAnsi="Arial" w:cs="Arial"/>
                <w:color w:val="000000"/>
                <w:lang w:eastAsia="es-MX"/>
              </w:rPr>
            </w:pPr>
            <w:r>
              <w:rPr>
                <w:rFonts w:ascii="Arial" w:eastAsia="Times New Roman" w:hAnsi="Arial" w:cs="Arial"/>
                <w:color w:val="000000"/>
                <w:lang w:eastAsia="es-MX"/>
              </w:rPr>
              <w:t>Interés medio</w:t>
            </w:r>
          </w:p>
        </w:tc>
        <w:tc>
          <w:tcPr>
            <w:tcW w:w="1764" w:type="dxa"/>
            <w:tcBorders>
              <w:top w:val="nil"/>
              <w:left w:val="nil"/>
              <w:bottom w:val="single" w:sz="4" w:space="0" w:color="auto"/>
              <w:right w:val="single" w:sz="4" w:space="0" w:color="auto"/>
            </w:tcBorders>
            <w:shd w:val="clear" w:color="auto" w:fill="auto"/>
            <w:noWrap/>
            <w:vAlign w:val="bottom"/>
            <w:hideMark/>
          </w:tcPr>
          <w:p w14:paraId="2468B947" w14:textId="7C414B54" w:rsidR="002A6C31" w:rsidRPr="005C1FB2" w:rsidRDefault="002A6C31" w:rsidP="002A6C31">
            <w:pPr>
              <w:ind w:right="0"/>
              <w:rPr>
                <w:rFonts w:ascii="Arial" w:eastAsia="Times New Roman" w:hAnsi="Arial" w:cs="Arial"/>
                <w:color w:val="000000"/>
                <w:lang w:eastAsia="es-MX"/>
              </w:rPr>
            </w:pPr>
            <w:r>
              <w:rPr>
                <w:rFonts w:ascii="Arial" w:eastAsia="Times New Roman" w:hAnsi="Arial" w:cs="Arial"/>
                <w:color w:val="000000"/>
                <w:lang w:eastAsia="es-MX"/>
              </w:rPr>
              <w:t>132,724.00</w:t>
            </w:r>
          </w:p>
        </w:tc>
      </w:tr>
    </w:tbl>
    <w:p w14:paraId="30ED2CF3" w14:textId="77777777" w:rsidR="00665980" w:rsidRPr="004B12E4" w:rsidRDefault="00665980" w:rsidP="00665980">
      <w:pPr>
        <w:jc w:val="both"/>
        <w:rPr>
          <w:rFonts w:ascii="Arial" w:hAnsi="Arial" w:cs="Arial"/>
        </w:rPr>
      </w:pPr>
    </w:p>
    <w:p w14:paraId="15E23854" w14:textId="77777777" w:rsidR="00665980" w:rsidRPr="004B12E4" w:rsidRDefault="00665980" w:rsidP="00665980">
      <w:pPr>
        <w:jc w:val="both"/>
        <w:rPr>
          <w:rFonts w:ascii="Arial" w:hAnsi="Arial" w:cs="Arial"/>
        </w:rPr>
      </w:pPr>
    </w:p>
    <w:p w14:paraId="22979E06" w14:textId="77777777" w:rsidR="00665980" w:rsidRPr="00665980" w:rsidRDefault="00665980" w:rsidP="00665980">
      <w:pPr>
        <w:jc w:val="both"/>
        <w:rPr>
          <w:rFonts w:ascii="Arial" w:hAnsi="Arial" w:cs="Arial"/>
        </w:rPr>
      </w:pPr>
      <w:r w:rsidRPr="004B12E4">
        <w:rPr>
          <w:rFonts w:ascii="Arial" w:hAnsi="Arial" w:cs="Arial"/>
        </w:rPr>
        <w:t>8. Si durante el ejercicio se desarrollaron algunas de las siguientes acciones, describa cómo se llevaron a cabo y cuál fue el impacto en la recaudación (es necesario anexar documentos que amparen dichas acciones)</w:t>
      </w:r>
      <w:r>
        <w:rPr>
          <w:rFonts w:ascii="Arial" w:hAnsi="Arial" w:cs="Arial"/>
        </w:rPr>
        <w:t>.</w:t>
      </w:r>
    </w:p>
    <w:p w14:paraId="2D9605CD"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Programa de modernización catastral</w:t>
      </w:r>
    </w:p>
    <w:p w14:paraId="03BAD115" w14:textId="326E247D" w:rsidR="00F2139A" w:rsidRDefault="00F2139A" w:rsidP="00F2139A">
      <w:pPr>
        <w:pStyle w:val="Prrafodelista"/>
        <w:jc w:val="both"/>
        <w:rPr>
          <w:rFonts w:ascii="Arial" w:hAnsi="Arial" w:cs="Arial"/>
          <w:b/>
          <w:bCs/>
        </w:rPr>
      </w:pPr>
      <w:r>
        <w:rPr>
          <w:rFonts w:ascii="Arial" w:hAnsi="Arial" w:cs="Arial"/>
          <w:b/>
          <w:bCs/>
        </w:rPr>
        <w:t>E</w:t>
      </w:r>
      <w:r w:rsidRPr="00F2139A">
        <w:rPr>
          <w:rFonts w:ascii="Arial" w:hAnsi="Arial" w:cs="Arial"/>
          <w:b/>
          <w:bCs/>
        </w:rPr>
        <w:t xml:space="preserve">n el año 2024 no se </w:t>
      </w:r>
      <w:r w:rsidRPr="00F2139A">
        <w:rPr>
          <w:rFonts w:ascii="Arial" w:hAnsi="Arial" w:cs="Arial"/>
          <w:b/>
          <w:bCs/>
        </w:rPr>
        <w:t>generó</w:t>
      </w:r>
      <w:r w:rsidRPr="00F2139A">
        <w:rPr>
          <w:rFonts w:ascii="Arial" w:hAnsi="Arial" w:cs="Arial"/>
          <w:b/>
          <w:bCs/>
        </w:rPr>
        <w:t xml:space="preserve"> ningún programa de modernización</w:t>
      </w:r>
    </w:p>
    <w:p w14:paraId="689C865D" w14:textId="77777777" w:rsidR="00F2139A" w:rsidRPr="00F2139A" w:rsidRDefault="00F2139A" w:rsidP="00F2139A">
      <w:pPr>
        <w:pStyle w:val="Prrafodelista"/>
        <w:jc w:val="both"/>
        <w:rPr>
          <w:rFonts w:ascii="Arial" w:hAnsi="Arial" w:cs="Arial"/>
          <w:b/>
          <w:bCs/>
        </w:rPr>
      </w:pPr>
    </w:p>
    <w:p w14:paraId="6F695719"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Actualización de base de datos</w:t>
      </w:r>
    </w:p>
    <w:p w14:paraId="07363FF1" w14:textId="0050EA01" w:rsidR="00F2139A" w:rsidRDefault="00F2139A" w:rsidP="00F2139A">
      <w:pPr>
        <w:pStyle w:val="Prrafodelista"/>
        <w:jc w:val="both"/>
        <w:rPr>
          <w:rFonts w:ascii="Arial" w:hAnsi="Arial" w:cs="Arial"/>
          <w:b/>
          <w:bCs/>
        </w:rPr>
      </w:pPr>
      <w:r w:rsidRPr="00F2139A">
        <w:rPr>
          <w:rFonts w:ascii="Arial" w:hAnsi="Arial" w:cs="Arial"/>
          <w:b/>
          <w:bCs/>
        </w:rPr>
        <w:t>Se da seguimiento a la actualización a petición (Propietarios o representantes legales que soliciten algún servicio de acuerdo a su necesidad), así mismo de manera interna se continua con la depuración de la base de datos catastral que data desde los años de 1960 aproximadamente, en la realización de ligas de cuentas fijas, cambio de localidades, cambio de región no correspondiente, homologación de propietarios, así como a la realización y actualización de la cartografía catastral con el fin de cumplir con las metas indicadas año con año para el programa operativo anual establecido por la Dirección General de Catastral y Valuación. Dicha información se actualiza y almacena mediante el Sistema Integral de Gestión Catastral (SIGECA) el cual controla tanto la base de datos Tabular como la base de datos cartográfica, clave trabajada se vincula.</w:t>
      </w:r>
    </w:p>
    <w:p w14:paraId="684C44CE" w14:textId="77777777" w:rsidR="00F2139A" w:rsidRPr="00F2139A" w:rsidRDefault="00F2139A" w:rsidP="00F2139A">
      <w:pPr>
        <w:pStyle w:val="Prrafodelista"/>
        <w:jc w:val="both"/>
        <w:rPr>
          <w:rFonts w:ascii="Arial" w:hAnsi="Arial" w:cs="Arial"/>
          <w:b/>
          <w:bCs/>
        </w:rPr>
      </w:pPr>
    </w:p>
    <w:p w14:paraId="373F3AD1"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Inspecciones y verificaciones de uso de suelo</w:t>
      </w:r>
    </w:p>
    <w:p w14:paraId="714A8D91" w14:textId="77777777" w:rsidR="002A6C31" w:rsidRDefault="002A6C31" w:rsidP="002A6C31">
      <w:pPr>
        <w:pStyle w:val="Prrafodelista"/>
        <w:jc w:val="both"/>
        <w:rPr>
          <w:rFonts w:ascii="Arial" w:hAnsi="Arial" w:cs="Arial"/>
          <w:b/>
          <w:bCs/>
        </w:rPr>
      </w:pPr>
      <w:r w:rsidRPr="00EE540D">
        <w:rPr>
          <w:rFonts w:ascii="Arial" w:hAnsi="Arial" w:cs="Arial"/>
          <w:b/>
          <w:bCs/>
        </w:rPr>
        <w:t xml:space="preserve">En materia catastral cada solicitud del propietario se inspecciona siempre y cuando no se cuente con información actual, </w:t>
      </w:r>
      <w:r>
        <w:rPr>
          <w:rFonts w:ascii="Arial" w:hAnsi="Arial" w:cs="Arial"/>
          <w:b/>
          <w:bCs/>
        </w:rPr>
        <w:t xml:space="preserve">o sea autorizado por </w:t>
      </w:r>
      <w:r w:rsidRPr="00EE540D">
        <w:rPr>
          <w:rFonts w:ascii="Arial" w:hAnsi="Arial" w:cs="Arial"/>
          <w:b/>
          <w:bCs/>
        </w:rPr>
        <w:t>el propietario y/o representante legal, ya que debido a la pandemia se utilizan herramientas de servicio de mapeo GPS,</w:t>
      </w:r>
      <w:r>
        <w:rPr>
          <w:rFonts w:ascii="Arial" w:hAnsi="Arial" w:cs="Arial"/>
          <w:b/>
          <w:bCs/>
        </w:rPr>
        <w:t xml:space="preserve"> </w:t>
      </w:r>
      <w:r w:rsidRPr="00EE540D">
        <w:rPr>
          <w:rFonts w:ascii="Arial" w:hAnsi="Arial" w:cs="Arial"/>
          <w:b/>
          <w:bCs/>
        </w:rPr>
        <w:t>imágenes satélites, vistas panorámicas de 360° de apoyo para la identificación de construcciones</w:t>
      </w:r>
    </w:p>
    <w:p w14:paraId="534DF8B1" w14:textId="77777777" w:rsidR="002A6C31" w:rsidRPr="004B12E4" w:rsidRDefault="002A6C31" w:rsidP="002A6C31">
      <w:pPr>
        <w:pStyle w:val="Prrafodelista"/>
        <w:jc w:val="both"/>
        <w:rPr>
          <w:rFonts w:ascii="Arial" w:hAnsi="Arial" w:cs="Arial"/>
        </w:rPr>
      </w:pPr>
    </w:p>
    <w:p w14:paraId="0FC02A96"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Dictámenes de uso de suelo y de impacto urbano</w:t>
      </w:r>
    </w:p>
    <w:p w14:paraId="5B9B56E7" w14:textId="77777777" w:rsidR="00316950" w:rsidRDefault="00316950" w:rsidP="00316950">
      <w:pPr>
        <w:pStyle w:val="Prrafodelista"/>
        <w:jc w:val="both"/>
        <w:rPr>
          <w:rFonts w:ascii="Arial" w:hAnsi="Arial" w:cs="Arial"/>
          <w:b/>
        </w:rPr>
      </w:pPr>
      <w:r w:rsidRPr="000E62C2">
        <w:rPr>
          <w:rFonts w:ascii="Arial" w:hAnsi="Arial" w:cs="Arial"/>
          <w:b/>
        </w:rPr>
        <w:t>Se expidieron 5</w:t>
      </w:r>
      <w:r>
        <w:rPr>
          <w:rFonts w:ascii="Arial" w:hAnsi="Arial" w:cs="Arial"/>
          <w:b/>
        </w:rPr>
        <w:t>47</w:t>
      </w:r>
      <w:r w:rsidRPr="000E62C2">
        <w:rPr>
          <w:rFonts w:ascii="Arial" w:hAnsi="Arial" w:cs="Arial"/>
          <w:b/>
        </w:rPr>
        <w:t xml:space="preserve"> Dictámenes de Uso de Suelo de acuerdo con la siguiente tabla:</w:t>
      </w:r>
    </w:p>
    <w:p w14:paraId="4CE15D67" w14:textId="3604E5DD" w:rsidR="00316950" w:rsidRPr="000E62C2" w:rsidRDefault="00316950" w:rsidP="00316950">
      <w:pPr>
        <w:pStyle w:val="Prrafodelista"/>
        <w:jc w:val="both"/>
        <w:rPr>
          <w:rFonts w:ascii="Arial" w:hAnsi="Arial" w:cs="Arial"/>
          <w:b/>
        </w:rPr>
      </w:pPr>
      <w:r>
        <w:rPr>
          <w:noProof/>
        </w:rPr>
        <w:lastRenderedPageBreak/>
        <w:drawing>
          <wp:inline distT="0" distB="0" distL="0" distR="0" wp14:anchorId="74F325AD" wp14:editId="75A6F30C">
            <wp:extent cx="5153025" cy="1558137"/>
            <wp:effectExtent l="0" t="0" r="0" b="4445"/>
            <wp:docPr id="817661851" name="Imagen 1" descr="Interfaz de usuario gráfica, Aplicación, Tabla, Exce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61851" name="Imagen 1" descr="Interfaz de usuario gráfica, Aplicación, Tabla, Excel&#10;&#10;El contenido generado por IA puede ser incorrecto."/>
                    <pic:cNvPicPr/>
                  </pic:nvPicPr>
                  <pic:blipFill rotWithShape="1">
                    <a:blip r:embed="rId7"/>
                    <a:srcRect l="1317" t="25694" r="66799" b="55996"/>
                    <a:stretch/>
                  </pic:blipFill>
                  <pic:spPr bwMode="auto">
                    <a:xfrm>
                      <a:off x="0" y="0"/>
                      <a:ext cx="5164984" cy="1561753"/>
                    </a:xfrm>
                    <a:prstGeom prst="rect">
                      <a:avLst/>
                    </a:prstGeom>
                    <a:ln>
                      <a:noFill/>
                    </a:ln>
                    <a:extLst>
                      <a:ext uri="{53640926-AAD7-44D8-BBD7-CCE9431645EC}">
                        <a14:shadowObscured xmlns:a14="http://schemas.microsoft.com/office/drawing/2010/main"/>
                      </a:ext>
                    </a:extLst>
                  </pic:spPr>
                </pic:pic>
              </a:graphicData>
            </a:graphic>
          </wp:inline>
        </w:drawing>
      </w:r>
    </w:p>
    <w:p w14:paraId="1D86E8BD" w14:textId="77777777" w:rsidR="00316950" w:rsidRPr="004B12E4" w:rsidRDefault="00316950" w:rsidP="00316950">
      <w:pPr>
        <w:pStyle w:val="Prrafodelista"/>
        <w:jc w:val="both"/>
        <w:rPr>
          <w:rFonts w:ascii="Arial" w:hAnsi="Arial" w:cs="Arial"/>
        </w:rPr>
      </w:pPr>
    </w:p>
    <w:p w14:paraId="5A2E7AFB"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Regularización de construcciones</w:t>
      </w:r>
    </w:p>
    <w:p w14:paraId="02B6E8BA" w14:textId="7B76E2E1" w:rsidR="00F2139A" w:rsidRDefault="00F2139A" w:rsidP="00F2139A">
      <w:pPr>
        <w:pStyle w:val="Prrafodelista"/>
        <w:jc w:val="both"/>
        <w:rPr>
          <w:rFonts w:ascii="Arial" w:hAnsi="Arial" w:cs="Arial"/>
          <w:b/>
          <w:bCs/>
        </w:rPr>
      </w:pPr>
      <w:r w:rsidRPr="00F2139A">
        <w:rPr>
          <w:rFonts w:ascii="Arial" w:hAnsi="Arial" w:cs="Arial"/>
          <w:b/>
          <w:bCs/>
        </w:rPr>
        <w:t>En materia catastral para la integración o actualización de construcción a la base de datos catastral se realiza algún trámite o servicio o por manifestación de construcción, por actualización permanente interna en la detección de construcción no declaradas (Ocultación)</w:t>
      </w:r>
      <w:r>
        <w:rPr>
          <w:rFonts w:ascii="Arial" w:hAnsi="Arial" w:cs="Arial"/>
          <w:b/>
          <w:bCs/>
        </w:rPr>
        <w:t>.</w:t>
      </w:r>
    </w:p>
    <w:p w14:paraId="3A2C42D6" w14:textId="77777777" w:rsidR="00F2139A" w:rsidRPr="00F2139A" w:rsidRDefault="00F2139A" w:rsidP="00F2139A">
      <w:pPr>
        <w:pStyle w:val="Prrafodelista"/>
        <w:jc w:val="both"/>
        <w:rPr>
          <w:rFonts w:ascii="Arial" w:hAnsi="Arial" w:cs="Arial"/>
          <w:b/>
          <w:bCs/>
        </w:rPr>
      </w:pPr>
    </w:p>
    <w:p w14:paraId="4430DBC1"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Certificación de mejoramiento de la imagen urbana</w:t>
      </w:r>
    </w:p>
    <w:p w14:paraId="216B5C86" w14:textId="77777777" w:rsidR="00665980" w:rsidRDefault="00665980" w:rsidP="00665980">
      <w:pPr>
        <w:pStyle w:val="Prrafodelista"/>
        <w:numPr>
          <w:ilvl w:val="0"/>
          <w:numId w:val="2"/>
        </w:numPr>
        <w:jc w:val="both"/>
        <w:rPr>
          <w:rFonts w:ascii="Arial" w:hAnsi="Arial" w:cs="Arial"/>
        </w:rPr>
      </w:pPr>
      <w:r w:rsidRPr="004B12E4">
        <w:rPr>
          <w:rFonts w:ascii="Arial" w:hAnsi="Arial" w:cs="Arial"/>
        </w:rPr>
        <w:t>Unificación de predios</w:t>
      </w:r>
    </w:p>
    <w:p w14:paraId="16431A1C" w14:textId="77777777" w:rsidR="00316950" w:rsidRPr="00BF1DB2" w:rsidRDefault="00316950" w:rsidP="00316950">
      <w:pPr>
        <w:pStyle w:val="Prrafodelista"/>
        <w:jc w:val="both"/>
        <w:rPr>
          <w:rFonts w:ascii="Arial" w:hAnsi="Arial" w:cs="Arial"/>
          <w:b/>
        </w:rPr>
      </w:pPr>
      <w:r>
        <w:rPr>
          <w:rFonts w:ascii="Arial" w:hAnsi="Arial" w:cs="Arial"/>
          <w:b/>
        </w:rPr>
        <w:t>S</w:t>
      </w:r>
      <w:r w:rsidRPr="00BF1DB2">
        <w:rPr>
          <w:rFonts w:ascii="Arial" w:hAnsi="Arial" w:cs="Arial"/>
          <w:b/>
        </w:rPr>
        <w:t>e otorgaron</w:t>
      </w:r>
      <w:r>
        <w:rPr>
          <w:rFonts w:ascii="Arial" w:hAnsi="Arial" w:cs="Arial"/>
          <w:b/>
        </w:rPr>
        <w:t xml:space="preserve"> 29</w:t>
      </w:r>
      <w:r w:rsidRPr="00BF1DB2">
        <w:rPr>
          <w:rFonts w:ascii="Arial" w:hAnsi="Arial" w:cs="Arial"/>
          <w:b/>
        </w:rPr>
        <w:t xml:space="preserve"> fusiones y</w:t>
      </w:r>
      <w:r>
        <w:rPr>
          <w:rFonts w:ascii="Arial" w:hAnsi="Arial" w:cs="Arial"/>
          <w:b/>
        </w:rPr>
        <w:t>/o</w:t>
      </w:r>
      <w:r w:rsidRPr="00BF1DB2">
        <w:rPr>
          <w:rFonts w:ascii="Arial" w:hAnsi="Arial" w:cs="Arial"/>
          <w:b/>
        </w:rPr>
        <w:t xml:space="preserve"> subdivisiones de predios</w:t>
      </w:r>
      <w:r>
        <w:rPr>
          <w:rFonts w:ascii="Arial" w:hAnsi="Arial" w:cs="Arial"/>
          <w:b/>
        </w:rPr>
        <w:t>:</w:t>
      </w:r>
    </w:p>
    <w:p w14:paraId="3CC615E7" w14:textId="71F7FF73" w:rsidR="00316950" w:rsidRPr="004B12E4" w:rsidRDefault="00316950" w:rsidP="00316950">
      <w:pPr>
        <w:pStyle w:val="Prrafodelista"/>
        <w:jc w:val="both"/>
        <w:rPr>
          <w:rFonts w:ascii="Arial" w:hAnsi="Arial" w:cs="Arial"/>
        </w:rPr>
      </w:pPr>
      <w:r>
        <w:rPr>
          <w:noProof/>
        </w:rPr>
        <w:drawing>
          <wp:inline distT="0" distB="0" distL="0" distR="0" wp14:anchorId="520FDC82" wp14:editId="56485848">
            <wp:extent cx="5149850" cy="847164"/>
            <wp:effectExtent l="0" t="0" r="0" b="0"/>
            <wp:docPr id="1018975573" name="Imagen 1" descr="Interfaz de usuario gráfica, Aplicación, Tabla, Exce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75573" name="Imagen 1" descr="Interfaz de usuario gráfica, Aplicación, Tabla, Excel&#10;&#10;El contenido generado por IA puede ser incorrecto."/>
                    <pic:cNvPicPr/>
                  </pic:nvPicPr>
                  <pic:blipFill rotWithShape="1">
                    <a:blip r:embed="rId8"/>
                    <a:srcRect l="1243" t="45564" r="66735" b="43182"/>
                    <a:stretch/>
                  </pic:blipFill>
                  <pic:spPr bwMode="auto">
                    <a:xfrm>
                      <a:off x="0" y="0"/>
                      <a:ext cx="5235272" cy="861216"/>
                    </a:xfrm>
                    <a:prstGeom prst="rect">
                      <a:avLst/>
                    </a:prstGeom>
                    <a:ln>
                      <a:noFill/>
                    </a:ln>
                    <a:extLst>
                      <a:ext uri="{53640926-AAD7-44D8-BBD7-CCE9431645EC}">
                        <a14:shadowObscured xmlns:a14="http://schemas.microsoft.com/office/drawing/2010/main"/>
                      </a:ext>
                    </a:extLst>
                  </pic:spPr>
                </pic:pic>
              </a:graphicData>
            </a:graphic>
          </wp:inline>
        </w:drawing>
      </w:r>
    </w:p>
    <w:p w14:paraId="2EC93940"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Otra (especificar)</w:t>
      </w:r>
    </w:p>
    <w:p w14:paraId="78A62B68" w14:textId="77777777" w:rsidR="00665980" w:rsidRPr="004B12E4" w:rsidRDefault="00665980" w:rsidP="00665980">
      <w:pPr>
        <w:jc w:val="both"/>
        <w:rPr>
          <w:rFonts w:ascii="Arial" w:hAnsi="Arial" w:cs="Arial"/>
        </w:rPr>
      </w:pPr>
    </w:p>
    <w:p w14:paraId="19DC28D9" w14:textId="77777777" w:rsidR="00665980" w:rsidRPr="004B12E4" w:rsidRDefault="00665980" w:rsidP="00665980">
      <w:pPr>
        <w:jc w:val="both"/>
        <w:rPr>
          <w:rFonts w:ascii="Arial" w:hAnsi="Arial" w:cs="Arial"/>
        </w:rPr>
      </w:pPr>
      <w:r w:rsidRPr="004B12E4">
        <w:rPr>
          <w:rFonts w:ascii="Arial" w:hAnsi="Arial" w:cs="Arial"/>
        </w:rPr>
        <w:t>Se solicita que se describa a detalle las acciones que se realizaron durante el ejercicio y anexar documentos comprobatorios.</w:t>
      </w:r>
    </w:p>
    <w:p w14:paraId="2E17CE3F" w14:textId="77777777" w:rsidR="00665980" w:rsidRDefault="00665980" w:rsidP="00665980">
      <w:pPr>
        <w:pStyle w:val="Prrafodelista"/>
        <w:jc w:val="both"/>
        <w:rPr>
          <w:rFonts w:ascii="Arial" w:hAnsi="Arial" w:cs="Arial"/>
        </w:rPr>
      </w:pPr>
    </w:p>
    <w:p w14:paraId="62501051" w14:textId="77777777" w:rsidR="00665980" w:rsidRPr="004B12E4" w:rsidRDefault="00665980" w:rsidP="00665980">
      <w:pPr>
        <w:pStyle w:val="Prrafodelista"/>
        <w:jc w:val="both"/>
        <w:rPr>
          <w:rFonts w:ascii="Arial" w:hAnsi="Arial" w:cs="Arial"/>
        </w:rPr>
      </w:pPr>
    </w:p>
    <w:p w14:paraId="348ECD91" w14:textId="77777777" w:rsidR="00665980" w:rsidRPr="004B12E4" w:rsidRDefault="00665980" w:rsidP="00665980">
      <w:pPr>
        <w:jc w:val="both"/>
        <w:rPr>
          <w:rFonts w:ascii="Arial" w:hAnsi="Arial" w:cs="Arial"/>
        </w:rPr>
      </w:pPr>
      <w:r w:rsidRPr="004B12E4">
        <w:rPr>
          <w:rFonts w:ascii="Arial" w:hAnsi="Arial" w:cs="Arial"/>
        </w:rPr>
        <w:t>9. Si se realizaron algunas de las siguientes acciones administrativas para aumentar o disminuir el potencial recaudatorio en el cobro del impuesto predial, es necesario que describa cómo se realizaron y anexe documentos que amparen dichas acciones.</w:t>
      </w:r>
    </w:p>
    <w:p w14:paraId="6570FADB" w14:textId="77777777" w:rsidR="00665980" w:rsidRPr="004B12E4" w:rsidRDefault="00665980" w:rsidP="00665980">
      <w:pPr>
        <w:jc w:val="both"/>
        <w:rPr>
          <w:rFonts w:ascii="Arial" w:hAnsi="Arial" w:cs="Arial"/>
        </w:rPr>
      </w:pPr>
    </w:p>
    <w:p w14:paraId="3A5492D4"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Actualización de catastro permanente</w:t>
      </w:r>
    </w:p>
    <w:p w14:paraId="37C8EDA9" w14:textId="79876F28" w:rsidR="00F2139A" w:rsidRDefault="00F2139A" w:rsidP="00F2139A">
      <w:pPr>
        <w:pStyle w:val="Prrafodelista"/>
        <w:jc w:val="both"/>
        <w:rPr>
          <w:rFonts w:ascii="Arial" w:hAnsi="Arial" w:cs="Arial"/>
          <w:b/>
          <w:bCs/>
        </w:rPr>
      </w:pPr>
      <w:r w:rsidRPr="00F2139A">
        <w:rPr>
          <w:rFonts w:ascii="Arial" w:hAnsi="Arial" w:cs="Arial"/>
          <w:b/>
          <w:bCs/>
        </w:rPr>
        <w:t>Al ser demasiado dinámico el catastro en el municipio de Veracruz la actualización a la base de datos catastral es permanente ya sea por petición al acudir presencialmente a oficina, o se realice mediante trámite interno incorporando registros o actualizando construcciones no declaradas.</w:t>
      </w:r>
    </w:p>
    <w:p w14:paraId="7C710697" w14:textId="77777777" w:rsidR="00F2139A" w:rsidRPr="00F2139A" w:rsidRDefault="00F2139A" w:rsidP="00F2139A">
      <w:pPr>
        <w:pStyle w:val="Prrafodelista"/>
        <w:jc w:val="both"/>
        <w:rPr>
          <w:rFonts w:ascii="Arial" w:hAnsi="Arial" w:cs="Arial"/>
          <w:b/>
          <w:bCs/>
        </w:rPr>
      </w:pPr>
    </w:p>
    <w:p w14:paraId="59919EBD"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Depuración del padrón</w:t>
      </w:r>
    </w:p>
    <w:p w14:paraId="3DE90B5F" w14:textId="0E30601E" w:rsidR="004516B2" w:rsidRDefault="004516B2" w:rsidP="004516B2">
      <w:pPr>
        <w:pStyle w:val="Prrafodelista"/>
        <w:jc w:val="both"/>
        <w:rPr>
          <w:rFonts w:ascii="Arial" w:hAnsi="Arial" w:cs="Arial"/>
          <w:b/>
          <w:bCs/>
        </w:rPr>
      </w:pPr>
      <w:r w:rsidRPr="004516B2">
        <w:rPr>
          <w:rFonts w:ascii="Arial" w:hAnsi="Arial" w:cs="Arial"/>
          <w:b/>
          <w:bCs/>
        </w:rPr>
        <w:t>Mediante la identificación de predios que se encuentran controlados con claves numéricas y claves con cuenta fija, uno de los cuales se encuentra al corriente del impuesto predial y otro con adeudo, se lleva a cabo la baja de registros duplicados.</w:t>
      </w:r>
    </w:p>
    <w:p w14:paraId="7B53AB02" w14:textId="77777777" w:rsidR="004516B2" w:rsidRPr="004516B2" w:rsidRDefault="004516B2" w:rsidP="004516B2">
      <w:pPr>
        <w:pStyle w:val="Prrafodelista"/>
        <w:jc w:val="both"/>
        <w:rPr>
          <w:rFonts w:ascii="Arial" w:hAnsi="Arial" w:cs="Arial"/>
          <w:b/>
          <w:bCs/>
        </w:rPr>
      </w:pPr>
    </w:p>
    <w:p w14:paraId="42839CB1"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Vigilancia y control de obligaciones permanente</w:t>
      </w:r>
    </w:p>
    <w:p w14:paraId="447BE68F" w14:textId="1C4E96F8" w:rsidR="004516B2" w:rsidRPr="004516B2" w:rsidRDefault="004516B2" w:rsidP="004516B2">
      <w:pPr>
        <w:pStyle w:val="Prrafodelista"/>
        <w:jc w:val="both"/>
        <w:rPr>
          <w:rFonts w:ascii="Arial" w:hAnsi="Arial" w:cs="Arial"/>
          <w:b/>
          <w:bCs/>
        </w:rPr>
      </w:pPr>
      <w:r w:rsidRPr="004516B2">
        <w:rPr>
          <w:rFonts w:ascii="Arial" w:hAnsi="Arial" w:cs="Arial"/>
          <w:b/>
          <w:bCs/>
        </w:rPr>
        <w:t xml:space="preserve">Se da continuidad con el uso de la plataforma (Tesorería virtual) implementada desde el año 2020 con la cual se cobran predial y sus accesorios, diferencias de construcción e impuestos por Traslado de </w:t>
      </w:r>
      <w:r w:rsidRPr="004516B2">
        <w:rPr>
          <w:rFonts w:ascii="Arial" w:hAnsi="Arial" w:cs="Arial"/>
          <w:b/>
          <w:bCs/>
        </w:rPr>
        <w:lastRenderedPageBreak/>
        <w:t>Dominio, así como el servicio y expedición de constancias de No adeudo predial.</w:t>
      </w:r>
    </w:p>
    <w:p w14:paraId="0C40590D" w14:textId="77777777" w:rsidR="004516B2" w:rsidRPr="004B12E4" w:rsidRDefault="004516B2" w:rsidP="004516B2">
      <w:pPr>
        <w:pStyle w:val="Prrafodelista"/>
        <w:jc w:val="both"/>
        <w:rPr>
          <w:rFonts w:ascii="Arial" w:hAnsi="Arial" w:cs="Arial"/>
        </w:rPr>
      </w:pPr>
    </w:p>
    <w:p w14:paraId="4E1EF895"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Cobro coactivo permanente</w:t>
      </w:r>
    </w:p>
    <w:p w14:paraId="53D91D1A" w14:textId="49D89FB2" w:rsidR="004F3E67" w:rsidRPr="004F3E67" w:rsidRDefault="004F3E67" w:rsidP="004F3E67">
      <w:pPr>
        <w:pStyle w:val="Prrafodelista"/>
        <w:pBdr>
          <w:top w:val="nil"/>
          <w:left w:val="nil"/>
          <w:bottom w:val="nil"/>
          <w:right w:val="nil"/>
          <w:between w:val="nil"/>
        </w:pBdr>
        <w:jc w:val="both"/>
        <w:rPr>
          <w:rFonts w:ascii="Arial" w:eastAsia="Arial" w:hAnsi="Arial" w:cs="Arial"/>
          <w:b/>
          <w:color w:val="000000"/>
        </w:rPr>
      </w:pPr>
      <w:r w:rsidRPr="004F3E67">
        <w:rPr>
          <w:rFonts w:ascii="Arial" w:eastAsia="Arial" w:hAnsi="Arial" w:cs="Arial"/>
          <w:b/>
          <w:color w:val="000000"/>
        </w:rPr>
        <w:t xml:space="preserve">Durante los meses de </w:t>
      </w:r>
      <w:r>
        <w:rPr>
          <w:rFonts w:ascii="Arial" w:eastAsia="Arial" w:hAnsi="Arial" w:cs="Arial"/>
          <w:b/>
          <w:color w:val="000000"/>
        </w:rPr>
        <w:t>marzo</w:t>
      </w:r>
      <w:r w:rsidRPr="004F3E67">
        <w:rPr>
          <w:rFonts w:ascii="Arial" w:eastAsia="Arial" w:hAnsi="Arial" w:cs="Arial"/>
          <w:b/>
          <w:color w:val="000000"/>
        </w:rPr>
        <w:t xml:space="preserve"> a diciembre se ejecutaron 35,032 acciones de cobro coactivo mediante el Procedimiento Administrativo de Ejecución.</w:t>
      </w:r>
    </w:p>
    <w:p w14:paraId="30D76F64" w14:textId="77777777" w:rsidR="004F3E67" w:rsidRPr="004B12E4" w:rsidRDefault="004F3E67" w:rsidP="004F3E67">
      <w:pPr>
        <w:pStyle w:val="Prrafodelista"/>
        <w:jc w:val="both"/>
        <w:rPr>
          <w:rFonts w:ascii="Arial" w:hAnsi="Arial" w:cs="Arial"/>
        </w:rPr>
      </w:pPr>
    </w:p>
    <w:p w14:paraId="15335482"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Capacitación permanente</w:t>
      </w:r>
    </w:p>
    <w:p w14:paraId="025BCD52" w14:textId="7DBD7E2F" w:rsidR="00F64BFD" w:rsidRPr="00F64BFD" w:rsidRDefault="00F64BFD" w:rsidP="00F64BFD">
      <w:pPr>
        <w:pStyle w:val="Prrafodelista"/>
        <w:jc w:val="both"/>
        <w:rPr>
          <w:rFonts w:ascii="Arial" w:hAnsi="Arial" w:cs="Arial"/>
          <w:b/>
          <w:bCs/>
        </w:rPr>
      </w:pPr>
      <w:r w:rsidRPr="00F64BFD">
        <w:rPr>
          <w:rFonts w:ascii="Arial" w:hAnsi="Arial" w:cs="Arial"/>
          <w:b/>
          <w:bCs/>
        </w:rPr>
        <w:t>Se mantiene capacitado el personal mediante cursos emitidos por la Dirección General de Catastro y Valuación, así como del Instituto Nacional de Estadística y Geografía (INEGI)</w:t>
      </w:r>
      <w:r w:rsidRPr="00F64BFD">
        <w:rPr>
          <w:rFonts w:ascii="Arial" w:hAnsi="Arial" w:cs="Arial"/>
          <w:b/>
          <w:bCs/>
        </w:rPr>
        <w:t>.</w:t>
      </w:r>
    </w:p>
    <w:p w14:paraId="0B1A7633" w14:textId="77777777" w:rsidR="00F64BFD" w:rsidRPr="00F64BFD" w:rsidRDefault="00F64BFD" w:rsidP="00F64BFD">
      <w:pPr>
        <w:pStyle w:val="Prrafodelista"/>
        <w:jc w:val="both"/>
        <w:rPr>
          <w:rFonts w:ascii="Arial" w:hAnsi="Arial" w:cs="Arial"/>
          <w:b/>
          <w:bCs/>
        </w:rPr>
      </w:pPr>
    </w:p>
    <w:p w14:paraId="6D3DB3AD"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Programas de descuentos</w:t>
      </w:r>
    </w:p>
    <w:p w14:paraId="1E6001B2" w14:textId="77777777" w:rsidR="004F3E67" w:rsidRPr="004F3E67" w:rsidRDefault="004F3E67" w:rsidP="004F3E67">
      <w:pPr>
        <w:pStyle w:val="Prrafodelista"/>
        <w:pBdr>
          <w:top w:val="nil"/>
          <w:left w:val="nil"/>
          <w:bottom w:val="nil"/>
          <w:right w:val="nil"/>
          <w:between w:val="nil"/>
        </w:pBdr>
        <w:jc w:val="both"/>
        <w:rPr>
          <w:rFonts w:ascii="Arial" w:eastAsia="Arial" w:hAnsi="Arial" w:cs="Arial"/>
          <w:b/>
          <w:color w:val="000000"/>
        </w:rPr>
      </w:pPr>
      <w:r w:rsidRPr="004F3E67">
        <w:rPr>
          <w:rFonts w:ascii="Arial" w:eastAsia="Arial" w:hAnsi="Arial" w:cs="Arial"/>
          <w:b/>
          <w:color w:val="000000"/>
        </w:rPr>
        <w:t>Programa Temporal: Al inicio del año la Tesorera Municipal informa los descuentos y beneficios que se otorgarán durante el año, de los cuales se registraron 10,550 descuentos en multas y aplicación de prescripciones realizadas por la subdirección de ejecución fiscal para el ejercicio 2024. Se anexa Circular.</w:t>
      </w:r>
    </w:p>
    <w:p w14:paraId="4353AED7" w14:textId="77777777" w:rsidR="004F3E67" w:rsidRPr="004B12E4" w:rsidRDefault="004F3E67" w:rsidP="004F3E67">
      <w:pPr>
        <w:pStyle w:val="Prrafodelista"/>
        <w:jc w:val="both"/>
        <w:rPr>
          <w:rFonts w:ascii="Arial" w:hAnsi="Arial" w:cs="Arial"/>
        </w:rPr>
      </w:pPr>
    </w:p>
    <w:p w14:paraId="7322D361"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Estímulos al pago por medio de sorteos</w:t>
      </w:r>
    </w:p>
    <w:p w14:paraId="1A1420DC"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Descuentos en el pago anual</w:t>
      </w:r>
    </w:p>
    <w:p w14:paraId="0EC988B4" w14:textId="736B07FC" w:rsidR="000B7DB8" w:rsidRPr="000B7DB8" w:rsidRDefault="000B7DB8" w:rsidP="000B7DB8">
      <w:pPr>
        <w:pStyle w:val="Prrafodelista"/>
        <w:jc w:val="both"/>
        <w:rPr>
          <w:rFonts w:ascii="Arial" w:hAnsi="Arial" w:cs="Arial"/>
          <w:b/>
          <w:bCs/>
        </w:rPr>
      </w:pPr>
      <w:r w:rsidRPr="000B7DB8">
        <w:rPr>
          <w:rFonts w:ascii="Arial" w:hAnsi="Arial" w:cs="Arial"/>
          <w:b/>
          <w:bCs/>
        </w:rPr>
        <w:t xml:space="preserve">En los artículos 118 y 121 del Código Hacendario para el Municipio de Veracruz se establecen los descuentos del 20% y 50 % por pago anticipado, así mismo en el mes de enero el cabildo </w:t>
      </w:r>
      <w:r w:rsidRPr="000B7DB8">
        <w:rPr>
          <w:rFonts w:ascii="Arial" w:hAnsi="Arial" w:cs="Arial"/>
          <w:b/>
          <w:bCs/>
        </w:rPr>
        <w:t>prórroga</w:t>
      </w:r>
      <w:r w:rsidRPr="000B7DB8">
        <w:rPr>
          <w:rFonts w:ascii="Arial" w:hAnsi="Arial" w:cs="Arial"/>
          <w:b/>
          <w:bCs/>
        </w:rPr>
        <w:t xml:space="preserve"> hasta el mes de marzo dicho beneficio.</w:t>
      </w:r>
    </w:p>
    <w:p w14:paraId="796724D4" w14:textId="77777777" w:rsidR="000B7DB8" w:rsidRPr="004B12E4" w:rsidRDefault="000B7DB8" w:rsidP="000B7DB8">
      <w:pPr>
        <w:pStyle w:val="Prrafodelista"/>
        <w:jc w:val="both"/>
        <w:rPr>
          <w:rFonts w:ascii="Arial" w:hAnsi="Arial" w:cs="Arial"/>
        </w:rPr>
      </w:pPr>
    </w:p>
    <w:p w14:paraId="113D4BB3"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Campañas publicitarias</w:t>
      </w:r>
    </w:p>
    <w:p w14:paraId="7C411CC0" w14:textId="77777777" w:rsidR="00352A8E" w:rsidRPr="00412125" w:rsidRDefault="00352A8E" w:rsidP="00352A8E">
      <w:pPr>
        <w:pStyle w:val="Prrafodelista"/>
        <w:jc w:val="both"/>
        <w:rPr>
          <w:rFonts w:ascii="Arial" w:hAnsi="Arial" w:cs="Arial"/>
          <w:b/>
          <w:i/>
          <w:iCs/>
        </w:rPr>
      </w:pPr>
      <w:r w:rsidRPr="00412125">
        <w:rPr>
          <w:rFonts w:ascii="Arial" w:hAnsi="Arial" w:cs="Arial"/>
          <w:b/>
          <w:i/>
          <w:iCs/>
        </w:rPr>
        <w:t>Con el objeto de informar de manera oportuna entre los ciudadanos y propietarios de predios ubicados en el municipio de Veracruz, Ver., respecto al inicio del Cobro del Impuesto Predial, los descuentos por pago anual anticipado, así como de incentivar al cumplimiento de dicha contribución a través de los diversos medios y canales disponibles;  durante el ejercicio 2024, y en los tiempos permitidos para realizar difusión de propaganda gubernamental; se implementó la estrategia de comunicación y difusión denominada CAMPAÑA PREDIAL 2024 - “CONTAMOS CONTIGO PARA EL PAGO PREDIAL 2024”</w:t>
      </w:r>
      <w:r>
        <w:rPr>
          <w:rFonts w:ascii="Arial" w:hAnsi="Arial" w:cs="Arial"/>
          <w:b/>
          <w:i/>
          <w:iCs/>
        </w:rPr>
        <w:t xml:space="preserve">; esto </w:t>
      </w:r>
      <w:r w:rsidRPr="00082A1C">
        <w:rPr>
          <w:rFonts w:ascii="Arial" w:hAnsi="Arial" w:cs="Arial"/>
          <w:b/>
          <w:i/>
          <w:iCs/>
        </w:rPr>
        <w:t>a través de diversas acciones de comunicación</w:t>
      </w:r>
      <w:r>
        <w:rPr>
          <w:rFonts w:ascii="Arial" w:hAnsi="Arial" w:cs="Arial"/>
          <w:b/>
          <w:i/>
          <w:iCs/>
        </w:rPr>
        <w:t xml:space="preserve">: </w:t>
      </w:r>
      <w:r w:rsidRPr="00412125">
        <w:rPr>
          <w:rFonts w:ascii="Arial" w:hAnsi="Arial" w:cs="Arial"/>
          <w:b/>
          <w:i/>
          <w:iCs/>
        </w:rPr>
        <w:t xml:space="preserve"> </w:t>
      </w:r>
      <w:r>
        <w:rPr>
          <w:rFonts w:ascii="Arial" w:hAnsi="Arial" w:cs="Arial"/>
          <w:b/>
          <w:i/>
          <w:iCs/>
        </w:rPr>
        <w:t>D</w:t>
      </w:r>
      <w:r w:rsidRPr="00412125">
        <w:rPr>
          <w:rFonts w:ascii="Arial" w:hAnsi="Arial" w:cs="Arial"/>
          <w:b/>
          <w:i/>
          <w:iCs/>
        </w:rPr>
        <w:t>ifusión</w:t>
      </w:r>
      <w:r>
        <w:rPr>
          <w:rFonts w:ascii="Arial" w:hAnsi="Arial" w:cs="Arial"/>
          <w:b/>
          <w:i/>
          <w:iCs/>
        </w:rPr>
        <w:t xml:space="preserve"> </w:t>
      </w:r>
      <w:r w:rsidRPr="00412125">
        <w:rPr>
          <w:rFonts w:ascii="Arial" w:hAnsi="Arial" w:cs="Arial"/>
          <w:b/>
          <w:i/>
          <w:iCs/>
        </w:rPr>
        <w:t>impresa</w:t>
      </w:r>
      <w:r>
        <w:rPr>
          <w:rFonts w:ascii="Arial" w:hAnsi="Arial" w:cs="Arial"/>
          <w:b/>
          <w:i/>
          <w:iCs/>
        </w:rPr>
        <w:t xml:space="preserve"> en </w:t>
      </w:r>
      <w:r w:rsidRPr="00412125">
        <w:rPr>
          <w:rFonts w:ascii="Arial" w:hAnsi="Arial" w:cs="Arial"/>
          <w:b/>
          <w:i/>
          <w:iCs/>
        </w:rPr>
        <w:t xml:space="preserve">prensa, </w:t>
      </w:r>
      <w:r>
        <w:rPr>
          <w:rFonts w:ascii="Arial" w:hAnsi="Arial" w:cs="Arial"/>
          <w:b/>
          <w:i/>
          <w:iCs/>
        </w:rPr>
        <w:t>d</w:t>
      </w:r>
      <w:r w:rsidRPr="00412125">
        <w:rPr>
          <w:rFonts w:ascii="Arial" w:hAnsi="Arial" w:cs="Arial"/>
          <w:b/>
          <w:i/>
          <w:iCs/>
        </w:rPr>
        <w:t>ifusión auditiva</w:t>
      </w:r>
      <w:r>
        <w:rPr>
          <w:rFonts w:ascii="Arial" w:hAnsi="Arial" w:cs="Arial"/>
          <w:b/>
          <w:i/>
          <w:iCs/>
        </w:rPr>
        <w:t xml:space="preserve"> en </w:t>
      </w:r>
      <w:r w:rsidRPr="00412125">
        <w:rPr>
          <w:rFonts w:ascii="Arial" w:hAnsi="Arial" w:cs="Arial"/>
          <w:b/>
          <w:i/>
          <w:iCs/>
        </w:rPr>
        <w:t xml:space="preserve">radio, difusión </w:t>
      </w:r>
      <w:r>
        <w:rPr>
          <w:rFonts w:ascii="Arial" w:hAnsi="Arial" w:cs="Arial"/>
          <w:b/>
          <w:i/>
          <w:iCs/>
        </w:rPr>
        <w:t xml:space="preserve">en </w:t>
      </w:r>
      <w:r w:rsidRPr="00412125">
        <w:rPr>
          <w:rFonts w:ascii="Arial" w:hAnsi="Arial" w:cs="Arial"/>
          <w:b/>
          <w:i/>
          <w:iCs/>
        </w:rPr>
        <w:t xml:space="preserve">redes sociales institucionales y difusión en portales de noticias. </w:t>
      </w:r>
    </w:p>
    <w:p w14:paraId="3798CEC5" w14:textId="77777777" w:rsidR="00352A8E" w:rsidRPr="004B12E4" w:rsidRDefault="00352A8E" w:rsidP="00352A8E">
      <w:pPr>
        <w:pStyle w:val="Prrafodelista"/>
        <w:jc w:val="both"/>
        <w:rPr>
          <w:rFonts w:ascii="Arial" w:hAnsi="Arial" w:cs="Arial"/>
        </w:rPr>
      </w:pPr>
    </w:p>
    <w:p w14:paraId="778DD935"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Facilidades de pago por medio de la celebración de convenios</w:t>
      </w:r>
    </w:p>
    <w:p w14:paraId="289E088E" w14:textId="51BAEAB4" w:rsidR="004F3E67" w:rsidRDefault="004F3E67" w:rsidP="004F3E67">
      <w:pPr>
        <w:pStyle w:val="Prrafodelista"/>
        <w:jc w:val="both"/>
        <w:rPr>
          <w:rFonts w:ascii="Arial" w:eastAsia="Arial" w:hAnsi="Arial" w:cs="Arial"/>
          <w:b/>
          <w:color w:val="000000"/>
        </w:rPr>
      </w:pPr>
      <w:r>
        <w:rPr>
          <w:rFonts w:ascii="Arial" w:eastAsia="Arial" w:hAnsi="Arial" w:cs="Arial"/>
          <w:b/>
          <w:color w:val="000000"/>
        </w:rPr>
        <w:t>En todo el año se ofrece convenios de pagos en parcialidades a los causantes con rezago. Se anexa reporte de convenios celebrados en 2024.</w:t>
      </w:r>
    </w:p>
    <w:p w14:paraId="66884B8F" w14:textId="77777777" w:rsidR="004F3E67" w:rsidRPr="004B12E4" w:rsidRDefault="004F3E67" w:rsidP="004F3E67">
      <w:pPr>
        <w:pStyle w:val="Prrafodelista"/>
        <w:jc w:val="both"/>
        <w:rPr>
          <w:rFonts w:ascii="Arial" w:hAnsi="Arial" w:cs="Arial"/>
        </w:rPr>
      </w:pPr>
    </w:p>
    <w:p w14:paraId="17D2B586"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Ampliación en cobertura de pago (bancos, internet, módulos, etc</w:t>
      </w:r>
      <w:r>
        <w:rPr>
          <w:rFonts w:ascii="Arial" w:hAnsi="Arial" w:cs="Arial"/>
        </w:rPr>
        <w:t>.</w:t>
      </w:r>
      <w:r w:rsidRPr="004B12E4">
        <w:rPr>
          <w:rFonts w:ascii="Arial" w:hAnsi="Arial" w:cs="Arial"/>
        </w:rPr>
        <w:t>)</w:t>
      </w:r>
    </w:p>
    <w:p w14:paraId="689D9EAF" w14:textId="69010BE2" w:rsidR="00A00197" w:rsidRPr="00CC0576" w:rsidRDefault="00A00197" w:rsidP="00A00197">
      <w:pPr>
        <w:ind w:left="360"/>
        <w:jc w:val="both"/>
        <w:rPr>
          <w:rFonts w:ascii="Arial" w:hAnsi="Arial" w:cs="Arial"/>
          <w:b/>
          <w:bCs/>
        </w:rPr>
      </w:pPr>
      <w:r w:rsidRPr="00CC0576">
        <w:rPr>
          <w:rFonts w:ascii="Arial" w:hAnsi="Arial" w:cs="Arial"/>
          <w:b/>
          <w:bCs/>
        </w:rPr>
        <w:t xml:space="preserve">1.- </w:t>
      </w:r>
      <w:r>
        <w:rPr>
          <w:rFonts w:ascii="Arial" w:hAnsi="Arial" w:cs="Arial"/>
          <w:b/>
          <w:bCs/>
        </w:rPr>
        <w:t>P</w:t>
      </w:r>
      <w:r w:rsidRPr="00CC0576">
        <w:rPr>
          <w:rFonts w:ascii="Arial" w:hAnsi="Arial" w:cs="Arial"/>
          <w:b/>
          <w:bCs/>
        </w:rPr>
        <w:t>agos referenciados con los siguientes bancos: Banorte, Banamex, HSBC, Santander y tiendas de conveniencia Oxxo</w:t>
      </w:r>
      <w:r>
        <w:rPr>
          <w:rFonts w:ascii="Arial" w:hAnsi="Arial" w:cs="Arial"/>
          <w:b/>
          <w:bCs/>
        </w:rPr>
        <w:t xml:space="preserve"> de la zona conurbada Veracruz- Boca del Río.</w:t>
      </w:r>
    </w:p>
    <w:p w14:paraId="01DD80C3" w14:textId="77777777" w:rsidR="00A00197" w:rsidRDefault="00A00197" w:rsidP="00A00197">
      <w:pPr>
        <w:ind w:left="360"/>
        <w:jc w:val="both"/>
        <w:rPr>
          <w:rFonts w:ascii="Arial" w:hAnsi="Arial" w:cs="Arial"/>
          <w:b/>
          <w:bCs/>
          <w:u w:val="single"/>
        </w:rPr>
      </w:pPr>
      <w:r>
        <w:rPr>
          <w:rFonts w:ascii="Arial" w:hAnsi="Arial" w:cs="Arial"/>
          <w:b/>
          <w:bCs/>
          <w:u w:val="single"/>
        </w:rPr>
        <w:t xml:space="preserve">      </w:t>
      </w:r>
    </w:p>
    <w:p w14:paraId="29A15C82" w14:textId="0EDB933F" w:rsidR="00A00197" w:rsidRPr="00CC0576" w:rsidRDefault="00A00197" w:rsidP="00A00197">
      <w:pPr>
        <w:spacing w:after="240"/>
        <w:ind w:left="284" w:hanging="284"/>
        <w:jc w:val="both"/>
        <w:rPr>
          <w:rFonts w:ascii="Arial" w:hAnsi="Arial" w:cs="Arial"/>
          <w:b/>
          <w:bCs/>
        </w:rPr>
      </w:pPr>
      <w:r>
        <w:rPr>
          <w:rFonts w:ascii="Arial" w:hAnsi="Arial" w:cs="Arial"/>
          <w:b/>
          <w:bCs/>
        </w:rPr>
        <w:t xml:space="preserve">      </w:t>
      </w:r>
      <w:r w:rsidRPr="00CC0576">
        <w:rPr>
          <w:rFonts w:ascii="Arial" w:hAnsi="Arial" w:cs="Arial"/>
          <w:b/>
          <w:bCs/>
        </w:rPr>
        <w:t>2.- Pagos en línea</w:t>
      </w:r>
      <w:r w:rsidRPr="00090161">
        <w:rPr>
          <w:rFonts w:ascii="Montserrat" w:hAnsi="Montserrat"/>
          <w:sz w:val="24"/>
          <w:szCs w:val="24"/>
        </w:rPr>
        <w:t xml:space="preserve"> </w:t>
      </w:r>
      <w:hyperlink r:id="rId9" w:history="1">
        <w:r w:rsidRPr="006A448D">
          <w:rPr>
            <w:rStyle w:val="Hipervnculo"/>
            <w:rFonts w:ascii="Arial" w:hAnsi="Arial" w:cs="Arial"/>
            <w:b/>
          </w:rPr>
          <w:t>www.tesoreriavirtual.veracruzmunicipio.gob.mx</w:t>
        </w:r>
      </w:hyperlink>
      <w:r>
        <w:rPr>
          <w:rFonts w:ascii="Arial" w:hAnsi="Arial" w:cs="Arial"/>
          <w:b/>
          <w:bCs/>
        </w:rPr>
        <w:t xml:space="preserve">, aceptando pagos </w:t>
      </w:r>
      <w:r w:rsidRPr="00CC0576">
        <w:rPr>
          <w:rFonts w:ascii="Arial" w:hAnsi="Arial" w:cs="Arial"/>
          <w:b/>
        </w:rPr>
        <w:t>con cualquier tarjeta de crédito y débito VISA Y MASTERCARD</w:t>
      </w:r>
      <w:r>
        <w:rPr>
          <w:rFonts w:ascii="Arial" w:hAnsi="Arial" w:cs="Arial"/>
          <w:b/>
        </w:rPr>
        <w:t>.</w:t>
      </w:r>
    </w:p>
    <w:p w14:paraId="2E66AC64" w14:textId="188AA539" w:rsidR="00A00197" w:rsidRDefault="00A00197" w:rsidP="00A00197">
      <w:pPr>
        <w:ind w:left="360"/>
        <w:jc w:val="both"/>
        <w:rPr>
          <w:rFonts w:ascii="Arial" w:hAnsi="Arial" w:cs="Arial"/>
          <w:b/>
          <w:bCs/>
        </w:rPr>
      </w:pPr>
      <w:r>
        <w:rPr>
          <w:rFonts w:ascii="Arial" w:hAnsi="Arial" w:cs="Arial"/>
          <w:b/>
          <w:bCs/>
        </w:rPr>
        <w:lastRenderedPageBreak/>
        <w:t>3.-</w:t>
      </w:r>
      <w:r w:rsidRPr="00CC0576">
        <w:rPr>
          <w:rFonts w:ascii="Arial" w:hAnsi="Arial" w:cs="Arial"/>
          <w:b/>
        </w:rPr>
        <w:t xml:space="preserve"> .</w:t>
      </w:r>
      <w:r w:rsidRPr="00CC0576">
        <w:rPr>
          <w:rFonts w:ascii="Arial" w:hAnsi="Arial" w:cs="Arial"/>
          <w:b/>
          <w:bCs/>
        </w:rPr>
        <w:t xml:space="preserve"> </w:t>
      </w:r>
      <w:r>
        <w:rPr>
          <w:rFonts w:ascii="Arial" w:hAnsi="Arial" w:cs="Arial"/>
          <w:b/>
          <w:bCs/>
        </w:rPr>
        <w:t xml:space="preserve">Con el </w:t>
      </w:r>
      <w:r w:rsidRPr="00CC0576">
        <w:rPr>
          <w:rFonts w:ascii="Arial" w:hAnsi="Arial" w:cs="Arial"/>
          <w:b/>
          <w:bCs/>
        </w:rPr>
        <w:t xml:space="preserve">personal de apoyo se promovió el pago en línea a </w:t>
      </w:r>
      <w:r>
        <w:rPr>
          <w:rFonts w:ascii="Arial" w:hAnsi="Arial" w:cs="Arial"/>
          <w:b/>
          <w:bCs/>
        </w:rPr>
        <w:t xml:space="preserve">los </w:t>
      </w:r>
      <w:r w:rsidR="00772429">
        <w:rPr>
          <w:rFonts w:ascii="Arial" w:hAnsi="Arial" w:cs="Arial"/>
          <w:b/>
          <w:bCs/>
        </w:rPr>
        <w:t xml:space="preserve">contribuyentes </w:t>
      </w:r>
      <w:r w:rsidR="00772429" w:rsidRPr="00CC0576">
        <w:rPr>
          <w:rFonts w:ascii="Arial" w:hAnsi="Arial" w:cs="Arial"/>
          <w:b/>
          <w:bCs/>
        </w:rPr>
        <w:t>y</w:t>
      </w:r>
      <w:r w:rsidRPr="00CC0576">
        <w:rPr>
          <w:rFonts w:ascii="Arial" w:hAnsi="Arial" w:cs="Arial"/>
          <w:b/>
          <w:bCs/>
        </w:rPr>
        <w:t xml:space="preserve"> se les proporcionaba QR de acceso rápido al portal de internet.</w:t>
      </w:r>
    </w:p>
    <w:p w14:paraId="33F0358C" w14:textId="77777777" w:rsidR="00A00197" w:rsidRPr="00446748" w:rsidRDefault="00A00197" w:rsidP="00A00197">
      <w:pPr>
        <w:ind w:left="360"/>
        <w:jc w:val="both"/>
        <w:rPr>
          <w:rFonts w:ascii="Arial" w:hAnsi="Arial" w:cs="Arial"/>
          <w:b/>
          <w:bCs/>
        </w:rPr>
      </w:pPr>
      <w:r w:rsidRPr="00E97180">
        <w:rPr>
          <w:rFonts w:ascii="Arial" w:hAnsi="Arial" w:cs="Arial"/>
          <w:b/>
          <w:bCs/>
        </w:rPr>
        <w:t xml:space="preserve">                      </w:t>
      </w:r>
    </w:p>
    <w:p w14:paraId="2231CD68" w14:textId="557D1215" w:rsidR="00A00197" w:rsidRPr="0037766A" w:rsidRDefault="00A00197" w:rsidP="00A00197">
      <w:pPr>
        <w:spacing w:after="240"/>
        <w:ind w:left="360"/>
        <w:jc w:val="both"/>
        <w:rPr>
          <w:rFonts w:ascii="Arial" w:hAnsi="Arial" w:cs="Arial"/>
          <w:b/>
          <w:bCs/>
        </w:rPr>
      </w:pPr>
      <w:r>
        <w:rPr>
          <w:rFonts w:ascii="Arial" w:hAnsi="Arial" w:cs="Arial"/>
          <w:b/>
          <w:bCs/>
        </w:rPr>
        <w:t xml:space="preserve">4.- 6 </w:t>
      </w:r>
      <w:r w:rsidRPr="0037766A">
        <w:rPr>
          <w:rFonts w:ascii="Arial" w:hAnsi="Arial" w:cs="Arial"/>
          <w:b/>
          <w:bCs/>
        </w:rPr>
        <w:t>Kioskos</w:t>
      </w:r>
      <w:r>
        <w:rPr>
          <w:rFonts w:ascii="Arial" w:hAnsi="Arial" w:cs="Arial"/>
          <w:b/>
          <w:bCs/>
        </w:rPr>
        <w:t xml:space="preserve"> que s</w:t>
      </w:r>
      <w:r w:rsidRPr="0037766A">
        <w:rPr>
          <w:rFonts w:ascii="Arial" w:hAnsi="Arial" w:cs="Arial"/>
          <w:b/>
          <w:bCs/>
        </w:rPr>
        <w:t xml:space="preserve">e concentraron </w:t>
      </w:r>
      <w:r>
        <w:rPr>
          <w:rFonts w:ascii="Arial" w:hAnsi="Arial" w:cs="Arial"/>
          <w:b/>
          <w:bCs/>
        </w:rPr>
        <w:t xml:space="preserve">en las afueras del edificio trigueros en donde se contaba con atención </w:t>
      </w:r>
      <w:r w:rsidRPr="0037766A">
        <w:rPr>
          <w:rFonts w:ascii="Arial" w:hAnsi="Arial" w:cs="Arial"/>
          <w:b/>
          <w:bCs/>
        </w:rPr>
        <w:t>personalizada</w:t>
      </w:r>
      <w:r>
        <w:rPr>
          <w:rFonts w:ascii="Arial" w:hAnsi="Arial" w:cs="Arial"/>
          <w:b/>
          <w:bCs/>
        </w:rPr>
        <w:t xml:space="preserve"> para apoyar al contribuyente a realizar su pago de impuesto predial.</w:t>
      </w:r>
    </w:p>
    <w:p w14:paraId="6BA1C0FB" w14:textId="77777777" w:rsidR="00A00197" w:rsidRDefault="00A00197" w:rsidP="00A00197">
      <w:pPr>
        <w:spacing w:after="240"/>
        <w:ind w:left="284" w:hanging="284"/>
        <w:jc w:val="both"/>
        <w:rPr>
          <w:rFonts w:ascii="Arial" w:hAnsi="Arial" w:cs="Arial"/>
          <w:b/>
        </w:rPr>
      </w:pPr>
      <w:r>
        <w:rPr>
          <w:rFonts w:ascii="Arial" w:hAnsi="Arial" w:cs="Arial"/>
          <w:b/>
        </w:rPr>
        <w:t xml:space="preserve">     </w:t>
      </w:r>
      <w:r w:rsidRPr="0037766A">
        <w:rPr>
          <w:rFonts w:ascii="Arial" w:hAnsi="Arial" w:cs="Arial"/>
          <w:b/>
        </w:rPr>
        <w:t>5.-Centros de cobros: Edificio trigueros, Edificio del Registro Civil, Cajas del DIF de Matamoros y Ruiz Cortines, Cajas en las oficinas de la Dirección de Obras Públicas y modulo en Santa Fe.</w:t>
      </w:r>
      <w:r>
        <w:rPr>
          <w:rFonts w:ascii="Arial" w:hAnsi="Arial" w:cs="Arial"/>
          <w:b/>
        </w:rPr>
        <w:t xml:space="preserve"> con opción a los siguientes tipos de pagos:</w:t>
      </w:r>
    </w:p>
    <w:p w14:paraId="377551D9" w14:textId="77777777" w:rsidR="00A00197" w:rsidRDefault="00A00197" w:rsidP="00A00197">
      <w:pPr>
        <w:pStyle w:val="Prrafodelista"/>
        <w:numPr>
          <w:ilvl w:val="0"/>
          <w:numId w:val="3"/>
        </w:numPr>
        <w:spacing w:after="240"/>
        <w:jc w:val="both"/>
        <w:rPr>
          <w:rFonts w:ascii="Arial" w:hAnsi="Arial" w:cs="Arial"/>
          <w:b/>
          <w:bCs/>
        </w:rPr>
      </w:pPr>
      <w:r>
        <w:rPr>
          <w:rFonts w:ascii="Arial" w:hAnsi="Arial" w:cs="Arial"/>
          <w:b/>
          <w:bCs/>
        </w:rPr>
        <w:t>Pago en efectivo.</w:t>
      </w:r>
    </w:p>
    <w:p w14:paraId="2AD1C4A1" w14:textId="77777777" w:rsidR="00A00197" w:rsidRDefault="00A00197" w:rsidP="00A00197">
      <w:pPr>
        <w:pStyle w:val="Prrafodelista"/>
        <w:numPr>
          <w:ilvl w:val="0"/>
          <w:numId w:val="3"/>
        </w:numPr>
        <w:spacing w:after="240"/>
        <w:jc w:val="both"/>
        <w:rPr>
          <w:rFonts w:ascii="Arial" w:hAnsi="Arial" w:cs="Arial"/>
          <w:b/>
          <w:bCs/>
        </w:rPr>
      </w:pPr>
      <w:r>
        <w:rPr>
          <w:rFonts w:ascii="Arial" w:hAnsi="Arial" w:cs="Arial"/>
          <w:b/>
          <w:bCs/>
        </w:rPr>
        <w:t>Pago en con cheque certificado o cheque de caja.</w:t>
      </w:r>
    </w:p>
    <w:p w14:paraId="4C712350" w14:textId="42D60C74" w:rsidR="00A00197" w:rsidRDefault="00A00197" w:rsidP="00A00197">
      <w:pPr>
        <w:pStyle w:val="Prrafodelista"/>
        <w:numPr>
          <w:ilvl w:val="0"/>
          <w:numId w:val="3"/>
        </w:numPr>
        <w:spacing w:after="240"/>
        <w:jc w:val="both"/>
        <w:rPr>
          <w:rFonts w:ascii="Arial" w:hAnsi="Arial" w:cs="Arial"/>
          <w:b/>
          <w:bCs/>
        </w:rPr>
      </w:pPr>
      <w:r>
        <w:rPr>
          <w:rFonts w:ascii="Arial" w:hAnsi="Arial" w:cs="Arial"/>
          <w:b/>
          <w:bCs/>
        </w:rPr>
        <w:t>Pago con tarjetas de débito.</w:t>
      </w:r>
    </w:p>
    <w:p w14:paraId="2B649133" w14:textId="0A10C04C" w:rsidR="00A00197" w:rsidRDefault="00A00197" w:rsidP="00A00197">
      <w:pPr>
        <w:pStyle w:val="Prrafodelista"/>
        <w:numPr>
          <w:ilvl w:val="0"/>
          <w:numId w:val="3"/>
        </w:numPr>
        <w:spacing w:after="240"/>
        <w:jc w:val="both"/>
        <w:rPr>
          <w:rFonts w:ascii="Arial" w:hAnsi="Arial" w:cs="Arial"/>
          <w:b/>
          <w:bCs/>
        </w:rPr>
      </w:pPr>
      <w:r w:rsidRPr="0037766A">
        <w:rPr>
          <w:rFonts w:ascii="Arial" w:hAnsi="Arial" w:cs="Arial"/>
          <w:b/>
          <w:bCs/>
        </w:rPr>
        <w:t>Pago con Tarjetas de crédito a 3 y 6 meses sin intereses</w:t>
      </w:r>
      <w:r>
        <w:rPr>
          <w:rFonts w:ascii="Arial" w:hAnsi="Arial" w:cs="Arial"/>
          <w:b/>
          <w:bCs/>
        </w:rPr>
        <w:t>, con t</w:t>
      </w:r>
      <w:r w:rsidRPr="0037766A">
        <w:rPr>
          <w:rFonts w:ascii="Arial" w:hAnsi="Arial" w:cs="Arial"/>
          <w:b/>
          <w:bCs/>
        </w:rPr>
        <w:t>arjetas participantes</w:t>
      </w:r>
      <w:r>
        <w:rPr>
          <w:rFonts w:ascii="Arial" w:hAnsi="Arial" w:cs="Arial"/>
          <w:b/>
          <w:bCs/>
        </w:rPr>
        <w:t>.</w:t>
      </w:r>
    </w:p>
    <w:p w14:paraId="2E3CABF5" w14:textId="77777777" w:rsidR="00A00197" w:rsidRPr="004B12E4" w:rsidRDefault="00A00197" w:rsidP="00A00197">
      <w:pPr>
        <w:pStyle w:val="Prrafodelista"/>
        <w:jc w:val="both"/>
        <w:rPr>
          <w:rFonts w:ascii="Arial" w:hAnsi="Arial" w:cs="Arial"/>
        </w:rPr>
      </w:pPr>
    </w:p>
    <w:p w14:paraId="098AA57B"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Modernización de su sistema administrativo</w:t>
      </w:r>
    </w:p>
    <w:p w14:paraId="495D2AC7" w14:textId="57824BEB" w:rsidR="00F64BFD" w:rsidRDefault="00F64BFD" w:rsidP="00F64BFD">
      <w:pPr>
        <w:pStyle w:val="Prrafodelista"/>
        <w:jc w:val="both"/>
        <w:rPr>
          <w:rFonts w:ascii="Arial" w:hAnsi="Arial" w:cs="Arial"/>
          <w:b/>
          <w:bCs/>
        </w:rPr>
      </w:pPr>
      <w:r w:rsidRPr="00F64BFD">
        <w:rPr>
          <w:rFonts w:ascii="Arial" w:hAnsi="Arial" w:cs="Arial"/>
          <w:b/>
          <w:bCs/>
        </w:rPr>
        <w:t xml:space="preserve">Dentro del mismo Sistema Integral de Gestión Catastral (SIGECA) se controlan la entrada, seguimiento y salida de oficios ingresados por </w:t>
      </w:r>
      <w:r w:rsidRPr="00F64BFD">
        <w:rPr>
          <w:rFonts w:ascii="Arial" w:hAnsi="Arial" w:cs="Arial"/>
          <w:b/>
          <w:bCs/>
        </w:rPr>
        <w:t>público</w:t>
      </w:r>
      <w:r w:rsidRPr="00F64BFD">
        <w:rPr>
          <w:rFonts w:ascii="Arial" w:hAnsi="Arial" w:cs="Arial"/>
          <w:b/>
          <w:bCs/>
        </w:rPr>
        <w:t xml:space="preserve"> en general y dependencias de gobierno.</w:t>
      </w:r>
    </w:p>
    <w:p w14:paraId="5A858FB8" w14:textId="77777777" w:rsidR="00F64BFD" w:rsidRPr="00F64BFD" w:rsidRDefault="00F64BFD" w:rsidP="00F64BFD">
      <w:pPr>
        <w:pStyle w:val="Prrafodelista"/>
        <w:jc w:val="both"/>
        <w:rPr>
          <w:rFonts w:ascii="Arial" w:hAnsi="Arial" w:cs="Arial"/>
          <w:b/>
          <w:bCs/>
        </w:rPr>
      </w:pPr>
    </w:p>
    <w:p w14:paraId="26FB2452" w14:textId="77777777" w:rsidR="00665980" w:rsidRPr="004B12E4" w:rsidRDefault="00665980" w:rsidP="00665980">
      <w:pPr>
        <w:pStyle w:val="Prrafodelista"/>
        <w:numPr>
          <w:ilvl w:val="0"/>
          <w:numId w:val="1"/>
        </w:numPr>
        <w:jc w:val="both"/>
      </w:pPr>
      <w:r w:rsidRPr="004B12E4">
        <w:rPr>
          <w:rFonts w:ascii="Arial" w:hAnsi="Arial" w:cs="Arial"/>
        </w:rPr>
        <w:t>Otra (especificar)</w:t>
      </w:r>
    </w:p>
    <w:p w14:paraId="0BAD1FF4" w14:textId="77777777" w:rsidR="00665980" w:rsidRPr="001C4087" w:rsidRDefault="00665980" w:rsidP="00665980">
      <w:pPr>
        <w:jc w:val="both"/>
        <w:rPr>
          <w:rFonts w:ascii="Arial" w:hAnsi="Arial" w:cs="Arial"/>
        </w:rPr>
      </w:pPr>
    </w:p>
    <w:p w14:paraId="0BAF9608" w14:textId="77777777" w:rsidR="00665980" w:rsidRDefault="00665980" w:rsidP="00665980">
      <w:pPr>
        <w:jc w:val="both"/>
        <w:rPr>
          <w:rFonts w:ascii="Arial" w:hAnsi="Arial" w:cs="Arial"/>
          <w:b/>
        </w:rPr>
      </w:pPr>
    </w:p>
    <w:p w14:paraId="6A1B61D5" w14:textId="77777777" w:rsidR="00665980" w:rsidRDefault="00665980" w:rsidP="00665980">
      <w:pPr>
        <w:jc w:val="both"/>
        <w:rPr>
          <w:rFonts w:ascii="Arial" w:hAnsi="Arial" w:cs="Arial"/>
        </w:rPr>
      </w:pPr>
      <w:r w:rsidRPr="00566C49">
        <w:rPr>
          <w:rFonts w:ascii="Arial" w:hAnsi="Arial" w:cs="Arial"/>
        </w:rPr>
        <w:t>10.</w:t>
      </w:r>
      <w:r>
        <w:rPr>
          <w:rFonts w:ascii="Arial" w:hAnsi="Arial" w:cs="Arial"/>
          <w:b/>
        </w:rPr>
        <w:t xml:space="preserve"> </w:t>
      </w:r>
      <w:r>
        <w:rPr>
          <w:rFonts w:ascii="Arial" w:hAnsi="Arial" w:cs="Arial"/>
        </w:rPr>
        <w:t>En caso de que la Entidad tenga firmados Convenios de Administración del Impuesto Predial con sus municipios, especificar en este apartado las acciones realizadas en virtud de dichos Convenios, los resultados y la recaudación obtenida. Esta información deberá acompañarse con la documentación soporte de las actividades y resultados que se describan, en forma electrónica.</w:t>
      </w:r>
    </w:p>
    <w:p w14:paraId="378519AC" w14:textId="77777777" w:rsidR="00665980" w:rsidRDefault="00665980" w:rsidP="00665980">
      <w:pPr>
        <w:jc w:val="both"/>
        <w:rPr>
          <w:rFonts w:ascii="Arial" w:hAnsi="Arial" w:cs="Arial"/>
        </w:rPr>
      </w:pPr>
    </w:p>
    <w:p w14:paraId="0836A78A" w14:textId="77777777" w:rsidR="00665980" w:rsidRPr="00D31BAE" w:rsidRDefault="00665980" w:rsidP="00665980">
      <w:pPr>
        <w:rPr>
          <w:rFonts w:ascii="Arial" w:hAnsi="Arial" w:cs="Arial"/>
          <w:b/>
          <w:sz w:val="20"/>
        </w:rPr>
      </w:pPr>
      <w:r w:rsidRPr="00D31BAE">
        <w:rPr>
          <w:rFonts w:ascii="Arial" w:hAnsi="Arial" w:cs="Arial"/>
          <w:b/>
          <w:sz w:val="20"/>
        </w:rPr>
        <w:t>Formato. Aspectos para la revisión de convenios de predial</w:t>
      </w:r>
    </w:p>
    <w:p w14:paraId="33C61A9F" w14:textId="77777777" w:rsidR="00665980" w:rsidRPr="00D31BAE" w:rsidRDefault="00665980" w:rsidP="00665980">
      <w:pPr>
        <w:jc w:val="both"/>
        <w:rPr>
          <w:rFonts w:ascii="Arial" w:hAnsi="Arial" w:cs="Arial"/>
        </w:rPr>
      </w:pPr>
    </w:p>
    <w:tbl>
      <w:tblPr>
        <w:tblStyle w:val="Tablaconcuadrcula"/>
        <w:tblW w:w="10023" w:type="dxa"/>
        <w:tblInd w:w="-572" w:type="dxa"/>
        <w:tblLayout w:type="fixed"/>
        <w:tblLook w:val="04A0" w:firstRow="1" w:lastRow="0" w:firstColumn="1" w:lastColumn="0" w:noHBand="0" w:noVBand="1"/>
      </w:tblPr>
      <w:tblGrid>
        <w:gridCol w:w="1134"/>
        <w:gridCol w:w="1243"/>
        <w:gridCol w:w="1104"/>
        <w:gridCol w:w="1168"/>
        <w:gridCol w:w="1179"/>
        <w:gridCol w:w="1293"/>
        <w:gridCol w:w="1384"/>
        <w:gridCol w:w="1518"/>
      </w:tblGrid>
      <w:tr w:rsidR="00665980" w:rsidRPr="00D31BAE" w14:paraId="7DDDC9F3" w14:textId="77777777" w:rsidTr="004740DC">
        <w:trPr>
          <w:trHeight w:val="1444"/>
        </w:trPr>
        <w:tc>
          <w:tcPr>
            <w:tcW w:w="1134" w:type="dxa"/>
            <w:shd w:val="clear" w:color="auto" w:fill="D9D9D9" w:themeFill="background1" w:themeFillShade="D9"/>
            <w:vAlign w:val="center"/>
          </w:tcPr>
          <w:p w14:paraId="51F81629" w14:textId="77777777" w:rsidR="00665980" w:rsidRPr="00D31BAE" w:rsidRDefault="00665980" w:rsidP="004740DC">
            <w:pPr>
              <w:rPr>
                <w:rFonts w:ascii="Arial" w:hAnsi="Arial" w:cs="Arial"/>
                <w:b/>
                <w:sz w:val="16"/>
              </w:rPr>
            </w:pPr>
            <w:r w:rsidRPr="00D31BAE">
              <w:rPr>
                <w:rFonts w:ascii="Arial" w:hAnsi="Arial" w:cs="Arial"/>
                <w:b/>
                <w:sz w:val="16"/>
              </w:rPr>
              <w:t>Municipio</w:t>
            </w:r>
          </w:p>
        </w:tc>
        <w:tc>
          <w:tcPr>
            <w:tcW w:w="1243" w:type="dxa"/>
            <w:shd w:val="clear" w:color="auto" w:fill="D9D9D9" w:themeFill="background1" w:themeFillShade="D9"/>
            <w:vAlign w:val="center"/>
          </w:tcPr>
          <w:p w14:paraId="3576F8EA" w14:textId="77777777" w:rsidR="00665980" w:rsidRPr="00D31BAE" w:rsidRDefault="00665980" w:rsidP="004740DC">
            <w:pPr>
              <w:rPr>
                <w:rFonts w:ascii="Arial" w:hAnsi="Arial" w:cs="Arial"/>
                <w:b/>
                <w:sz w:val="16"/>
              </w:rPr>
            </w:pPr>
            <w:r w:rsidRPr="00D31BAE">
              <w:rPr>
                <w:rFonts w:ascii="Arial" w:hAnsi="Arial" w:cs="Arial"/>
                <w:b/>
                <w:sz w:val="16"/>
              </w:rPr>
              <w:t>¿El convenio está en operación?</w:t>
            </w:r>
          </w:p>
        </w:tc>
        <w:tc>
          <w:tcPr>
            <w:tcW w:w="1104" w:type="dxa"/>
            <w:shd w:val="clear" w:color="auto" w:fill="D9D9D9" w:themeFill="background1" w:themeFillShade="D9"/>
            <w:vAlign w:val="center"/>
          </w:tcPr>
          <w:p w14:paraId="3037F091" w14:textId="77777777" w:rsidR="00665980" w:rsidRPr="00D31BAE" w:rsidRDefault="00665980" w:rsidP="004740DC">
            <w:pPr>
              <w:rPr>
                <w:rFonts w:ascii="Arial" w:hAnsi="Arial" w:cs="Arial"/>
                <w:b/>
                <w:sz w:val="16"/>
              </w:rPr>
            </w:pPr>
            <w:r w:rsidRPr="00D31BAE">
              <w:rPr>
                <w:rFonts w:ascii="Arial" w:hAnsi="Arial" w:cs="Arial"/>
                <w:b/>
                <w:sz w:val="16"/>
              </w:rPr>
              <w:t>¿Hace cobro coactivo?</w:t>
            </w:r>
          </w:p>
        </w:tc>
        <w:tc>
          <w:tcPr>
            <w:tcW w:w="1168" w:type="dxa"/>
            <w:shd w:val="clear" w:color="auto" w:fill="D9D9D9" w:themeFill="background1" w:themeFillShade="D9"/>
            <w:vAlign w:val="center"/>
          </w:tcPr>
          <w:p w14:paraId="6D14B00F" w14:textId="77777777" w:rsidR="00665980" w:rsidRPr="00D31BAE" w:rsidRDefault="00665980" w:rsidP="004740DC">
            <w:pPr>
              <w:rPr>
                <w:rFonts w:ascii="Arial" w:hAnsi="Arial" w:cs="Arial"/>
                <w:b/>
                <w:sz w:val="16"/>
              </w:rPr>
            </w:pPr>
            <w:r w:rsidRPr="00D31BAE">
              <w:rPr>
                <w:rFonts w:ascii="Arial" w:hAnsi="Arial" w:cs="Arial"/>
                <w:b/>
                <w:sz w:val="16"/>
              </w:rPr>
              <w:t>¿Se actualiza el catastro?</w:t>
            </w:r>
          </w:p>
        </w:tc>
        <w:tc>
          <w:tcPr>
            <w:tcW w:w="1179" w:type="dxa"/>
            <w:shd w:val="clear" w:color="auto" w:fill="D9D9D9" w:themeFill="background1" w:themeFillShade="D9"/>
            <w:vAlign w:val="center"/>
          </w:tcPr>
          <w:p w14:paraId="4DB310EE" w14:textId="77777777" w:rsidR="00665980" w:rsidRPr="00D31BAE" w:rsidRDefault="00665980" w:rsidP="004740DC">
            <w:pPr>
              <w:rPr>
                <w:rFonts w:ascii="Arial" w:hAnsi="Arial" w:cs="Arial"/>
                <w:b/>
                <w:sz w:val="16"/>
              </w:rPr>
            </w:pPr>
            <w:r w:rsidRPr="00D31BAE">
              <w:rPr>
                <w:rFonts w:ascii="Arial" w:hAnsi="Arial" w:cs="Arial"/>
                <w:b/>
                <w:sz w:val="16"/>
              </w:rPr>
              <w:t>¿Remite cartas invitación?</w:t>
            </w:r>
          </w:p>
        </w:tc>
        <w:tc>
          <w:tcPr>
            <w:tcW w:w="1293" w:type="dxa"/>
            <w:shd w:val="clear" w:color="auto" w:fill="D9D9D9" w:themeFill="background1" w:themeFillShade="D9"/>
            <w:vAlign w:val="center"/>
          </w:tcPr>
          <w:p w14:paraId="699D6070" w14:textId="77777777" w:rsidR="00665980" w:rsidRPr="00D31BAE" w:rsidRDefault="00665980" w:rsidP="004740DC">
            <w:pPr>
              <w:rPr>
                <w:rFonts w:ascii="Arial" w:hAnsi="Arial" w:cs="Arial"/>
                <w:b/>
                <w:sz w:val="16"/>
              </w:rPr>
            </w:pPr>
            <w:r w:rsidRPr="00D31BAE">
              <w:rPr>
                <w:rFonts w:ascii="Arial" w:hAnsi="Arial" w:cs="Arial"/>
                <w:b/>
                <w:sz w:val="16"/>
              </w:rPr>
              <w:t>¿Se ha realizado verificación de predios?</w:t>
            </w:r>
          </w:p>
        </w:tc>
        <w:tc>
          <w:tcPr>
            <w:tcW w:w="1384" w:type="dxa"/>
            <w:shd w:val="clear" w:color="auto" w:fill="D9D9D9" w:themeFill="background1" w:themeFillShade="D9"/>
            <w:vAlign w:val="center"/>
          </w:tcPr>
          <w:p w14:paraId="55898AB1" w14:textId="77777777" w:rsidR="00665980" w:rsidRPr="00D31BAE" w:rsidRDefault="00665980" w:rsidP="004740DC">
            <w:pPr>
              <w:rPr>
                <w:rFonts w:ascii="Arial" w:hAnsi="Arial" w:cs="Arial"/>
                <w:b/>
                <w:sz w:val="16"/>
              </w:rPr>
            </w:pPr>
            <w:r w:rsidRPr="00D31BAE">
              <w:rPr>
                <w:rFonts w:ascii="Arial" w:hAnsi="Arial" w:cs="Arial"/>
                <w:b/>
                <w:sz w:val="16"/>
              </w:rPr>
              <w:t>¿Se han desarrollado sistemas de pago?</w:t>
            </w:r>
          </w:p>
        </w:tc>
        <w:tc>
          <w:tcPr>
            <w:tcW w:w="1518" w:type="dxa"/>
            <w:shd w:val="clear" w:color="auto" w:fill="D9D9D9" w:themeFill="background1" w:themeFillShade="D9"/>
            <w:vAlign w:val="center"/>
          </w:tcPr>
          <w:p w14:paraId="189A989F" w14:textId="77777777" w:rsidR="00665980" w:rsidRPr="00D31BAE" w:rsidRDefault="00665980" w:rsidP="004740DC">
            <w:pPr>
              <w:rPr>
                <w:rFonts w:ascii="Arial" w:hAnsi="Arial" w:cs="Arial"/>
                <w:b/>
                <w:sz w:val="16"/>
              </w:rPr>
            </w:pPr>
            <w:r w:rsidRPr="00D31BAE">
              <w:rPr>
                <w:rFonts w:ascii="Arial" w:hAnsi="Arial" w:cs="Arial"/>
                <w:b/>
                <w:sz w:val="16"/>
              </w:rPr>
              <w:t>¿Se ha realizado procedimiento administrativo de ejecución?</w:t>
            </w:r>
          </w:p>
        </w:tc>
      </w:tr>
      <w:tr w:rsidR="00665980" w:rsidRPr="00D31BAE" w14:paraId="60BF72C6" w14:textId="77777777" w:rsidTr="004740DC">
        <w:trPr>
          <w:trHeight w:val="573"/>
        </w:trPr>
        <w:tc>
          <w:tcPr>
            <w:tcW w:w="1134" w:type="dxa"/>
            <w:vAlign w:val="center"/>
          </w:tcPr>
          <w:p w14:paraId="40996657" w14:textId="57EC1A4E" w:rsidR="00665980" w:rsidRPr="00D31BAE" w:rsidRDefault="00665980" w:rsidP="00772429">
            <w:pPr>
              <w:rPr>
                <w:rFonts w:ascii="Arial" w:hAnsi="Arial" w:cs="Arial"/>
                <w:sz w:val="16"/>
              </w:rPr>
            </w:pPr>
            <w:r w:rsidRPr="00D31BAE">
              <w:rPr>
                <w:rFonts w:ascii="Arial" w:hAnsi="Arial" w:cs="Arial"/>
                <w:sz w:val="16"/>
              </w:rPr>
              <w:t>Nombre del municipio</w:t>
            </w:r>
          </w:p>
        </w:tc>
        <w:tc>
          <w:tcPr>
            <w:tcW w:w="1243" w:type="dxa"/>
            <w:vAlign w:val="center"/>
          </w:tcPr>
          <w:p w14:paraId="57F7E335" w14:textId="78C56255" w:rsidR="00665980" w:rsidRPr="00D31BAE" w:rsidRDefault="00772429" w:rsidP="004740DC">
            <w:pPr>
              <w:rPr>
                <w:rFonts w:ascii="Arial" w:hAnsi="Arial" w:cs="Arial"/>
                <w:sz w:val="16"/>
              </w:rPr>
            </w:pPr>
            <w:r>
              <w:rPr>
                <w:rFonts w:ascii="Arial" w:hAnsi="Arial" w:cs="Arial"/>
                <w:sz w:val="16"/>
              </w:rPr>
              <w:t>SI</w:t>
            </w:r>
          </w:p>
        </w:tc>
        <w:tc>
          <w:tcPr>
            <w:tcW w:w="1104" w:type="dxa"/>
            <w:vAlign w:val="center"/>
          </w:tcPr>
          <w:p w14:paraId="5BD44CA8" w14:textId="760E7D53" w:rsidR="00665980" w:rsidRPr="00D31BAE" w:rsidRDefault="00F64BFD" w:rsidP="004740DC">
            <w:pPr>
              <w:rPr>
                <w:rFonts w:ascii="Arial" w:hAnsi="Arial" w:cs="Arial"/>
                <w:sz w:val="16"/>
              </w:rPr>
            </w:pPr>
            <w:r>
              <w:rPr>
                <w:rFonts w:ascii="Arial" w:hAnsi="Arial" w:cs="Arial"/>
                <w:sz w:val="16"/>
              </w:rPr>
              <w:t>SI</w:t>
            </w:r>
          </w:p>
        </w:tc>
        <w:tc>
          <w:tcPr>
            <w:tcW w:w="1168" w:type="dxa"/>
            <w:vAlign w:val="center"/>
          </w:tcPr>
          <w:p w14:paraId="7A8DB227" w14:textId="0125A20C" w:rsidR="00665980" w:rsidRPr="00D31BAE" w:rsidRDefault="00772429" w:rsidP="004740DC">
            <w:pPr>
              <w:rPr>
                <w:rFonts w:ascii="Arial" w:hAnsi="Arial" w:cs="Arial"/>
                <w:sz w:val="16"/>
              </w:rPr>
            </w:pPr>
            <w:r>
              <w:rPr>
                <w:rFonts w:ascii="Arial" w:hAnsi="Arial" w:cs="Arial"/>
                <w:sz w:val="16"/>
              </w:rPr>
              <w:t>SI</w:t>
            </w:r>
          </w:p>
        </w:tc>
        <w:tc>
          <w:tcPr>
            <w:tcW w:w="1179" w:type="dxa"/>
            <w:vAlign w:val="center"/>
          </w:tcPr>
          <w:p w14:paraId="28F87C4E" w14:textId="2403D1D2" w:rsidR="00665980" w:rsidRPr="00D31BAE" w:rsidRDefault="00772429" w:rsidP="004740DC">
            <w:pPr>
              <w:rPr>
                <w:rFonts w:ascii="Arial" w:hAnsi="Arial" w:cs="Arial"/>
                <w:sz w:val="16"/>
              </w:rPr>
            </w:pPr>
            <w:r>
              <w:rPr>
                <w:rFonts w:ascii="Arial" w:hAnsi="Arial" w:cs="Arial"/>
                <w:sz w:val="16"/>
              </w:rPr>
              <w:t>NO</w:t>
            </w:r>
          </w:p>
        </w:tc>
        <w:tc>
          <w:tcPr>
            <w:tcW w:w="1293" w:type="dxa"/>
            <w:vAlign w:val="center"/>
          </w:tcPr>
          <w:p w14:paraId="5FC572CF" w14:textId="148B6346" w:rsidR="00665980" w:rsidRPr="00D31BAE" w:rsidRDefault="00772429" w:rsidP="004740DC">
            <w:pPr>
              <w:rPr>
                <w:rFonts w:ascii="Arial" w:hAnsi="Arial" w:cs="Arial"/>
                <w:sz w:val="16"/>
              </w:rPr>
            </w:pPr>
            <w:r>
              <w:rPr>
                <w:rFonts w:ascii="Arial" w:hAnsi="Arial" w:cs="Arial"/>
                <w:sz w:val="16"/>
              </w:rPr>
              <w:t>SI</w:t>
            </w:r>
          </w:p>
        </w:tc>
        <w:tc>
          <w:tcPr>
            <w:tcW w:w="1384" w:type="dxa"/>
            <w:vAlign w:val="center"/>
          </w:tcPr>
          <w:p w14:paraId="34D24B10" w14:textId="71FC2FE8" w:rsidR="00665980" w:rsidRPr="00D31BAE" w:rsidRDefault="00F64BFD" w:rsidP="004740DC">
            <w:pPr>
              <w:rPr>
                <w:rFonts w:ascii="Arial" w:hAnsi="Arial" w:cs="Arial"/>
                <w:sz w:val="16"/>
              </w:rPr>
            </w:pPr>
            <w:r>
              <w:rPr>
                <w:rFonts w:ascii="Arial" w:hAnsi="Arial" w:cs="Arial"/>
                <w:sz w:val="16"/>
              </w:rPr>
              <w:t>NO</w:t>
            </w:r>
          </w:p>
        </w:tc>
        <w:tc>
          <w:tcPr>
            <w:tcW w:w="1518" w:type="dxa"/>
            <w:vAlign w:val="center"/>
          </w:tcPr>
          <w:p w14:paraId="029672D1" w14:textId="70E72F6E" w:rsidR="00665980" w:rsidRPr="00D31BAE" w:rsidRDefault="00772429" w:rsidP="004740DC">
            <w:pPr>
              <w:rPr>
                <w:rFonts w:ascii="Arial" w:hAnsi="Arial" w:cs="Arial"/>
                <w:sz w:val="16"/>
              </w:rPr>
            </w:pPr>
            <w:r>
              <w:rPr>
                <w:rFonts w:ascii="Arial" w:hAnsi="Arial" w:cs="Arial"/>
                <w:sz w:val="16"/>
              </w:rPr>
              <w:t>SI</w:t>
            </w:r>
          </w:p>
        </w:tc>
      </w:tr>
    </w:tbl>
    <w:p w14:paraId="237CFA4B" w14:textId="77777777" w:rsidR="00665980" w:rsidRPr="00D31BAE" w:rsidRDefault="00665980" w:rsidP="00665980">
      <w:pPr>
        <w:rPr>
          <w:rFonts w:ascii="Arial" w:hAnsi="Arial" w:cs="Arial"/>
        </w:rPr>
      </w:pPr>
    </w:p>
    <w:p w14:paraId="0C9AE378" w14:textId="77777777" w:rsidR="00665980" w:rsidRPr="00D31BAE" w:rsidRDefault="00665980" w:rsidP="00665980">
      <w:pPr>
        <w:jc w:val="both"/>
        <w:rPr>
          <w:rFonts w:ascii="Arial" w:hAnsi="Arial" w:cs="Arial"/>
        </w:rPr>
      </w:pPr>
    </w:p>
    <w:p w14:paraId="2DC1B33F" w14:textId="77777777" w:rsidR="00AB071B" w:rsidRDefault="00AB071B" w:rsidP="00665980">
      <w:pPr>
        <w:jc w:val="both"/>
        <w:rPr>
          <w:rFonts w:ascii="Arial" w:hAnsi="Arial" w:cs="Arial"/>
          <w:b/>
        </w:rPr>
      </w:pPr>
    </w:p>
    <w:p w14:paraId="3ADF10BD" w14:textId="77777777" w:rsidR="00AB071B" w:rsidRDefault="00AB071B" w:rsidP="00665980">
      <w:pPr>
        <w:jc w:val="both"/>
        <w:rPr>
          <w:rFonts w:ascii="Arial" w:hAnsi="Arial" w:cs="Arial"/>
          <w:b/>
        </w:rPr>
      </w:pPr>
    </w:p>
    <w:p w14:paraId="69D6371B" w14:textId="77777777" w:rsidR="00AB071B" w:rsidRDefault="00AB071B" w:rsidP="00665980">
      <w:pPr>
        <w:jc w:val="both"/>
        <w:rPr>
          <w:rFonts w:ascii="Arial" w:hAnsi="Arial" w:cs="Arial"/>
          <w:b/>
        </w:rPr>
      </w:pPr>
    </w:p>
    <w:p w14:paraId="3ED326C8" w14:textId="77777777" w:rsidR="00AB071B" w:rsidRDefault="00AB071B" w:rsidP="00665980">
      <w:pPr>
        <w:jc w:val="both"/>
        <w:rPr>
          <w:rFonts w:ascii="Arial" w:hAnsi="Arial" w:cs="Arial"/>
          <w:b/>
        </w:rPr>
      </w:pPr>
    </w:p>
    <w:p w14:paraId="6651F290" w14:textId="77777777" w:rsidR="00AB071B" w:rsidRDefault="00AB071B" w:rsidP="00665980">
      <w:pPr>
        <w:jc w:val="both"/>
        <w:rPr>
          <w:rFonts w:ascii="Arial" w:hAnsi="Arial" w:cs="Arial"/>
          <w:b/>
        </w:rPr>
      </w:pPr>
    </w:p>
    <w:p w14:paraId="7C81216F" w14:textId="77777777" w:rsidR="00AB071B" w:rsidRDefault="00AB071B" w:rsidP="00665980">
      <w:pPr>
        <w:jc w:val="both"/>
        <w:rPr>
          <w:rFonts w:ascii="Arial" w:hAnsi="Arial" w:cs="Arial"/>
          <w:b/>
        </w:rPr>
      </w:pPr>
    </w:p>
    <w:p w14:paraId="0DC5716B" w14:textId="77777777" w:rsidR="00AB071B" w:rsidRDefault="00AB071B" w:rsidP="00665980">
      <w:pPr>
        <w:jc w:val="both"/>
        <w:rPr>
          <w:rFonts w:ascii="Arial" w:hAnsi="Arial" w:cs="Arial"/>
          <w:b/>
        </w:rPr>
      </w:pPr>
    </w:p>
    <w:p w14:paraId="1C77D1EA" w14:textId="77777777" w:rsidR="00AB071B" w:rsidRDefault="00AB071B" w:rsidP="00665980">
      <w:pPr>
        <w:jc w:val="both"/>
        <w:rPr>
          <w:rFonts w:ascii="Arial" w:hAnsi="Arial" w:cs="Arial"/>
          <w:b/>
        </w:rPr>
      </w:pPr>
    </w:p>
    <w:p w14:paraId="3579D075" w14:textId="3BBCAD5D" w:rsidR="00AB071B" w:rsidRPr="00AB071B" w:rsidRDefault="00665980" w:rsidP="00665980">
      <w:pPr>
        <w:jc w:val="both"/>
        <w:rPr>
          <w:rFonts w:ascii="Arial" w:hAnsi="Arial" w:cs="Arial"/>
        </w:rPr>
      </w:pPr>
      <w:r w:rsidRPr="00D31BAE">
        <w:rPr>
          <w:rFonts w:ascii="Arial" w:hAnsi="Arial" w:cs="Arial"/>
          <w:b/>
        </w:rPr>
        <w:lastRenderedPageBreak/>
        <w:t>Nota:</w:t>
      </w:r>
      <w:r w:rsidRPr="00D31BAE">
        <w:rPr>
          <w:rFonts w:ascii="Arial" w:hAnsi="Arial" w:cs="Arial"/>
        </w:rPr>
        <w:t xml:space="preserve"> Es necesario que en cada respuesta se señale cómo se realizaron dichas acciones y se anexe la documentación soporte correspondiente.</w:t>
      </w:r>
    </w:p>
    <w:p w14:paraId="11C75872" w14:textId="77777777" w:rsidR="00AB071B" w:rsidRDefault="00AB071B" w:rsidP="00665980">
      <w:pPr>
        <w:jc w:val="both"/>
        <w:rPr>
          <w:rFonts w:ascii="Arial" w:hAnsi="Arial" w:cs="Arial"/>
          <w:b/>
        </w:rPr>
      </w:pPr>
    </w:p>
    <w:p w14:paraId="0B355AFD" w14:textId="1D3EEAED" w:rsidR="00665980" w:rsidRPr="001C4087" w:rsidRDefault="00665980" w:rsidP="00665980">
      <w:pPr>
        <w:jc w:val="both"/>
        <w:rPr>
          <w:rFonts w:ascii="Arial" w:hAnsi="Arial" w:cs="Arial"/>
          <w:b/>
        </w:rPr>
      </w:pPr>
      <w:r w:rsidRPr="001C4087">
        <w:rPr>
          <w:rFonts w:ascii="Arial" w:hAnsi="Arial" w:cs="Arial"/>
          <w:b/>
        </w:rPr>
        <w:t>Notas:</w:t>
      </w:r>
    </w:p>
    <w:p w14:paraId="18F04C64" w14:textId="77777777" w:rsidR="00665980" w:rsidRPr="001C4087" w:rsidRDefault="00665980" w:rsidP="00665980">
      <w:pPr>
        <w:jc w:val="both"/>
        <w:rPr>
          <w:rFonts w:ascii="Arial" w:hAnsi="Arial" w:cs="Arial"/>
          <w:b/>
        </w:rPr>
      </w:pPr>
    </w:p>
    <w:p w14:paraId="55AF5FCF" w14:textId="77777777" w:rsidR="00665980" w:rsidRPr="001C4087" w:rsidRDefault="00665980" w:rsidP="00665980">
      <w:pPr>
        <w:jc w:val="both"/>
        <w:rPr>
          <w:rFonts w:ascii="Arial" w:hAnsi="Arial" w:cs="Arial"/>
        </w:rPr>
      </w:pPr>
      <w:r w:rsidRPr="001C4087">
        <w:rPr>
          <w:rFonts w:ascii="Arial" w:hAnsi="Arial" w:cs="Arial"/>
        </w:rPr>
        <w:t>1. En el caso de incrementos importantes en la recaudación o variaciones significativas con respecto al año inmediato anterior; es decir, cifras superiores como resultado de incrementos en tasas, cuotas o tarifas, deberá abundarse al respecto.</w:t>
      </w:r>
    </w:p>
    <w:p w14:paraId="43FB6CFA" w14:textId="77777777" w:rsidR="00665980" w:rsidRPr="001C4087" w:rsidRDefault="00665980" w:rsidP="00665980">
      <w:pPr>
        <w:jc w:val="both"/>
        <w:rPr>
          <w:rFonts w:ascii="Arial" w:hAnsi="Arial" w:cs="Arial"/>
        </w:rPr>
      </w:pPr>
    </w:p>
    <w:p w14:paraId="1F90986D" w14:textId="77777777" w:rsidR="00665980" w:rsidRPr="001C4087" w:rsidRDefault="00665980" w:rsidP="00665980">
      <w:pPr>
        <w:jc w:val="both"/>
        <w:rPr>
          <w:rFonts w:ascii="Arial" w:hAnsi="Arial" w:cs="Arial"/>
        </w:rPr>
      </w:pPr>
      <w:r w:rsidRPr="001C4087">
        <w:rPr>
          <w:rFonts w:ascii="Arial" w:hAnsi="Arial" w:cs="Arial"/>
        </w:rPr>
        <w:t xml:space="preserve">2. Se deberán aportar los elementos que se consideren necesarios a efecto de que el Comité de Vigilancia cuente con información suficiente para estar en condiciones de validar su información. </w:t>
      </w:r>
      <w:r>
        <w:rPr>
          <w:rFonts w:ascii="Arial" w:hAnsi="Arial" w:cs="Arial"/>
        </w:rPr>
        <w:t>Todo el soporte documental deberá adjuntarse en el apartado de información soporte de la plataforma.</w:t>
      </w:r>
    </w:p>
    <w:p w14:paraId="09344CC4" w14:textId="77777777" w:rsidR="00665980" w:rsidRPr="001C4087" w:rsidRDefault="00665980" w:rsidP="00665980">
      <w:pPr>
        <w:jc w:val="both"/>
        <w:rPr>
          <w:rFonts w:ascii="Arial" w:hAnsi="Arial" w:cs="Arial"/>
        </w:rPr>
      </w:pPr>
    </w:p>
    <w:p w14:paraId="3671B366" w14:textId="77777777" w:rsidR="00665980" w:rsidRPr="001C4087" w:rsidRDefault="00665980" w:rsidP="00665980">
      <w:pPr>
        <w:jc w:val="both"/>
        <w:rPr>
          <w:rFonts w:ascii="Arial" w:hAnsi="Arial" w:cs="Arial"/>
        </w:rPr>
      </w:pPr>
      <w:r w:rsidRPr="001C4087">
        <w:rPr>
          <w:rFonts w:ascii="Arial" w:hAnsi="Arial" w:cs="Arial"/>
        </w:rPr>
        <w:t xml:space="preserve">3. Se recomienda explicar los programas, acciones, enviar actas de cabildo, instrucciones sobre operativos, etc., tanto de la Entidad en su conjunto como de algún Municipio en lo particular, que considere necesario. </w:t>
      </w:r>
    </w:p>
    <w:p w14:paraId="42FC32BC" w14:textId="77777777" w:rsidR="00665980" w:rsidRPr="001C4087" w:rsidRDefault="00665980" w:rsidP="00665980">
      <w:pPr>
        <w:jc w:val="both"/>
        <w:rPr>
          <w:rFonts w:ascii="Arial" w:hAnsi="Arial" w:cs="Arial"/>
        </w:rPr>
      </w:pPr>
    </w:p>
    <w:p w14:paraId="6033389A" w14:textId="77777777" w:rsidR="00665980" w:rsidRPr="001C4087" w:rsidRDefault="00665980" w:rsidP="00665980">
      <w:pPr>
        <w:jc w:val="both"/>
        <w:rPr>
          <w:rFonts w:ascii="Arial" w:hAnsi="Arial" w:cs="Arial"/>
        </w:rPr>
      </w:pPr>
      <w:r w:rsidRPr="001C4087">
        <w:rPr>
          <w:rFonts w:ascii="Arial" w:hAnsi="Arial" w:cs="Arial"/>
        </w:rPr>
        <w:t xml:space="preserve">4. Si a juicio de la Entidad requiere profundizar algún punto de su información que facilite la validación de </w:t>
      </w:r>
      <w:proofErr w:type="gramStart"/>
      <w:r w:rsidRPr="001C4087">
        <w:rPr>
          <w:rFonts w:ascii="Arial" w:hAnsi="Arial" w:cs="Arial"/>
        </w:rPr>
        <w:t>las mismas</w:t>
      </w:r>
      <w:proofErr w:type="gramEnd"/>
      <w:r w:rsidRPr="001C4087">
        <w:rPr>
          <w:rFonts w:ascii="Arial" w:hAnsi="Arial" w:cs="Arial"/>
        </w:rPr>
        <w:t>, favor de agregarlo al final del Cuestionario.</w:t>
      </w:r>
    </w:p>
    <w:p w14:paraId="280F51C6" w14:textId="77777777" w:rsidR="00665980" w:rsidRPr="00925D03" w:rsidRDefault="00665980" w:rsidP="00665980">
      <w:pPr>
        <w:jc w:val="both"/>
        <w:rPr>
          <w:rFonts w:ascii="Arial" w:hAnsi="Arial" w:cs="Arial"/>
        </w:rPr>
      </w:pPr>
    </w:p>
    <w:p w14:paraId="6EC0ECFF" w14:textId="77777777" w:rsidR="00C20695" w:rsidRDefault="00C20695"/>
    <w:sectPr w:rsidR="00C2069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1415" w14:textId="77777777" w:rsidR="001E2E16" w:rsidRDefault="001E2E16" w:rsidP="00665980">
      <w:r>
        <w:separator/>
      </w:r>
    </w:p>
  </w:endnote>
  <w:endnote w:type="continuationSeparator" w:id="0">
    <w:p w14:paraId="62356CBE" w14:textId="77777777" w:rsidR="001E2E16" w:rsidRDefault="001E2E16" w:rsidP="006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6512" w14:textId="77777777" w:rsidR="001E2E16" w:rsidRDefault="001E2E16" w:rsidP="00665980">
      <w:r>
        <w:separator/>
      </w:r>
    </w:p>
  </w:footnote>
  <w:footnote w:type="continuationSeparator" w:id="0">
    <w:p w14:paraId="7F3F958D" w14:textId="77777777" w:rsidR="001E2E16" w:rsidRDefault="001E2E16" w:rsidP="0066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B08B" w14:textId="77777777" w:rsidR="00665980" w:rsidRDefault="00665980" w:rsidP="00665980">
    <w:pPr>
      <w:pStyle w:val="Encabezado"/>
      <w:pBdr>
        <w:bottom w:val="single" w:sz="4" w:space="1" w:color="auto"/>
      </w:pBdr>
      <w:jc w:val="right"/>
      <w:rPr>
        <w:rFonts w:ascii="Arial" w:hAnsi="Arial" w:cs="Arial"/>
        <w:noProof/>
        <w:sz w:val="18"/>
        <w:lang w:eastAsia="es-MX"/>
      </w:rPr>
    </w:pPr>
    <w:r w:rsidRPr="005C1FB2">
      <w:rPr>
        <w:rFonts w:ascii="Arial" w:hAnsi="Arial" w:cs="Arial"/>
        <w:noProof/>
        <w:sz w:val="18"/>
        <w:lang w:eastAsia="es-MX"/>
      </w:rPr>
      <w:t>Cuestionario Impuesto Predial.  Ejercicio 20</w:t>
    </w:r>
    <w:r>
      <w:rPr>
        <w:rFonts w:ascii="Arial" w:hAnsi="Arial" w:cs="Arial"/>
        <w:noProof/>
        <w:sz w:val="18"/>
        <w:lang w:eastAsia="es-MX"/>
      </w:rPr>
      <w:t>24</w:t>
    </w:r>
  </w:p>
  <w:p w14:paraId="68C0BE7A" w14:textId="77777777" w:rsidR="00665980" w:rsidRDefault="00665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363"/>
    <w:multiLevelType w:val="hybridMultilevel"/>
    <w:tmpl w:val="D8AE1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2716CD"/>
    <w:multiLevelType w:val="hybridMultilevel"/>
    <w:tmpl w:val="CB8EA6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A53261"/>
    <w:multiLevelType w:val="hybridMultilevel"/>
    <w:tmpl w:val="FE28F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6719703">
    <w:abstractNumId w:val="0"/>
  </w:num>
  <w:num w:numId="2" w16cid:durableId="1842350239">
    <w:abstractNumId w:val="1"/>
  </w:num>
  <w:num w:numId="3" w16cid:durableId="143998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80"/>
    <w:rsid w:val="000B7DB8"/>
    <w:rsid w:val="000F689E"/>
    <w:rsid w:val="001E2E16"/>
    <w:rsid w:val="001F2E28"/>
    <w:rsid w:val="002A6C31"/>
    <w:rsid w:val="0030387D"/>
    <w:rsid w:val="00316950"/>
    <w:rsid w:val="00352A8E"/>
    <w:rsid w:val="00361019"/>
    <w:rsid w:val="0037764D"/>
    <w:rsid w:val="003D3E1E"/>
    <w:rsid w:val="00400E19"/>
    <w:rsid w:val="00401AE3"/>
    <w:rsid w:val="004516B2"/>
    <w:rsid w:val="004F3E67"/>
    <w:rsid w:val="005836CA"/>
    <w:rsid w:val="00665980"/>
    <w:rsid w:val="00772429"/>
    <w:rsid w:val="007A56F9"/>
    <w:rsid w:val="00873DB0"/>
    <w:rsid w:val="00947E16"/>
    <w:rsid w:val="009B1AAB"/>
    <w:rsid w:val="00A00197"/>
    <w:rsid w:val="00AB071B"/>
    <w:rsid w:val="00AC57FD"/>
    <w:rsid w:val="00B476D7"/>
    <w:rsid w:val="00C20695"/>
    <w:rsid w:val="00CD6B59"/>
    <w:rsid w:val="00D62887"/>
    <w:rsid w:val="00E67BEA"/>
    <w:rsid w:val="00E96BB8"/>
    <w:rsid w:val="00EC38BB"/>
    <w:rsid w:val="00EF16A2"/>
    <w:rsid w:val="00F2139A"/>
    <w:rsid w:val="00F4447E"/>
    <w:rsid w:val="00F64BFD"/>
    <w:rsid w:val="00FA0A85"/>
    <w:rsid w:val="00FD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1635"/>
  <w15:chartTrackingRefBased/>
  <w15:docId w15:val="{A965B5B7-BE4E-44F0-BCA3-FC61FFF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80"/>
    <w:pPr>
      <w:spacing w:after="0" w:line="240" w:lineRule="auto"/>
      <w:ind w:right="51"/>
      <w:jc w:val="center"/>
    </w:pPr>
    <w:rPr>
      <w:rFonts w:ascii="Calibri" w:eastAsia="Calibri" w:hAnsi="Calibri" w:cs="Times New Roman"/>
    </w:rPr>
  </w:style>
  <w:style w:type="paragraph" w:styleId="Ttulo1">
    <w:name w:val="heading 1"/>
    <w:basedOn w:val="Normal"/>
    <w:next w:val="Normal"/>
    <w:link w:val="Ttulo1Car"/>
    <w:qFormat/>
    <w:rsid w:val="00665980"/>
    <w:pPr>
      <w:keepNext/>
      <w:ind w:right="0"/>
      <w:jc w:val="left"/>
      <w:outlineLvl w:val="0"/>
    </w:pPr>
    <w:rPr>
      <w:rFonts w:ascii="Arial" w:eastAsia="Times New Roman" w:hAnsi="Arial"/>
      <w:b/>
      <w:szCs w:val="20"/>
      <w:lang w:eastAsia="es-ES"/>
    </w:rPr>
  </w:style>
  <w:style w:type="paragraph" w:styleId="Ttulo3">
    <w:name w:val="heading 3"/>
    <w:basedOn w:val="Normal"/>
    <w:next w:val="Normal"/>
    <w:link w:val="Ttulo3Car"/>
    <w:qFormat/>
    <w:rsid w:val="00665980"/>
    <w:pPr>
      <w:keepNext/>
      <w:ind w:right="0"/>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980"/>
    <w:pPr>
      <w:tabs>
        <w:tab w:val="center" w:pos="4419"/>
        <w:tab w:val="right" w:pos="8838"/>
      </w:tabs>
    </w:pPr>
  </w:style>
  <w:style w:type="character" w:customStyle="1" w:styleId="EncabezadoCar">
    <w:name w:val="Encabezado Car"/>
    <w:basedOn w:val="Fuentedeprrafopredeter"/>
    <w:link w:val="Encabezado"/>
    <w:uiPriority w:val="99"/>
    <w:rsid w:val="00665980"/>
  </w:style>
  <w:style w:type="paragraph" w:styleId="Piedepgina">
    <w:name w:val="footer"/>
    <w:basedOn w:val="Normal"/>
    <w:link w:val="PiedepginaCar"/>
    <w:uiPriority w:val="99"/>
    <w:unhideWhenUsed/>
    <w:rsid w:val="00665980"/>
    <w:pPr>
      <w:tabs>
        <w:tab w:val="center" w:pos="4419"/>
        <w:tab w:val="right" w:pos="8838"/>
      </w:tabs>
    </w:pPr>
  </w:style>
  <w:style w:type="character" w:customStyle="1" w:styleId="PiedepginaCar">
    <w:name w:val="Pie de página Car"/>
    <w:basedOn w:val="Fuentedeprrafopredeter"/>
    <w:link w:val="Piedepgina"/>
    <w:uiPriority w:val="99"/>
    <w:rsid w:val="00665980"/>
  </w:style>
  <w:style w:type="character" w:customStyle="1" w:styleId="Ttulo1Car">
    <w:name w:val="Título 1 Car"/>
    <w:basedOn w:val="Fuentedeprrafopredeter"/>
    <w:link w:val="Ttulo1"/>
    <w:rsid w:val="00665980"/>
    <w:rPr>
      <w:rFonts w:ascii="Arial" w:eastAsia="Times New Roman" w:hAnsi="Arial" w:cs="Times New Roman"/>
      <w:b/>
      <w:szCs w:val="20"/>
      <w:lang w:eastAsia="es-ES"/>
    </w:rPr>
  </w:style>
  <w:style w:type="character" w:customStyle="1" w:styleId="Ttulo3Car">
    <w:name w:val="Título 3 Car"/>
    <w:basedOn w:val="Fuentedeprrafopredeter"/>
    <w:link w:val="Ttulo3"/>
    <w:rsid w:val="00665980"/>
    <w:rPr>
      <w:rFonts w:ascii="Arial" w:eastAsia="Times New Roman" w:hAnsi="Arial" w:cs="Arial"/>
      <w:b/>
      <w:bCs/>
      <w:sz w:val="24"/>
      <w:szCs w:val="24"/>
      <w:lang w:val="es-ES" w:eastAsia="es-ES"/>
    </w:rPr>
  </w:style>
  <w:style w:type="paragraph" w:styleId="Prrafodelista">
    <w:name w:val="List Paragraph"/>
    <w:basedOn w:val="Normal"/>
    <w:uiPriority w:val="34"/>
    <w:qFormat/>
    <w:rsid w:val="00665980"/>
    <w:pPr>
      <w:ind w:left="720"/>
      <w:contextualSpacing/>
    </w:pPr>
  </w:style>
  <w:style w:type="table" w:styleId="Tablaconcuadrcula">
    <w:name w:val="Table Grid"/>
    <w:basedOn w:val="Tablanormal"/>
    <w:uiPriority w:val="59"/>
    <w:rsid w:val="0066598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6D7"/>
    <w:pPr>
      <w:autoSpaceDE w:val="0"/>
      <w:autoSpaceDN w:val="0"/>
      <w:adjustRightInd w:val="0"/>
      <w:spacing w:after="0" w:line="240" w:lineRule="auto"/>
    </w:pPr>
    <w:rPr>
      <w:rFonts w:ascii="Arial" w:eastAsia="Calibri" w:hAnsi="Arial" w:cs="Arial"/>
      <w:color w:val="000000"/>
      <w:sz w:val="24"/>
      <w:szCs w:val="24"/>
      <w:lang w:eastAsia="es-MX"/>
    </w:rPr>
  </w:style>
  <w:style w:type="character" w:styleId="Hipervnculo">
    <w:name w:val="Hyperlink"/>
    <w:basedOn w:val="Fuentedeprrafopredeter"/>
    <w:uiPriority w:val="99"/>
    <w:unhideWhenUsed/>
    <w:rsid w:val="00A00197"/>
    <w:rPr>
      <w:color w:val="0563C1" w:themeColor="hyperlink"/>
      <w:u w:val="single"/>
    </w:rPr>
  </w:style>
  <w:style w:type="character" w:styleId="Mencinsinresolver">
    <w:name w:val="Unresolved Mention"/>
    <w:basedOn w:val="Fuentedeprrafopredeter"/>
    <w:uiPriority w:val="99"/>
    <w:semiHidden/>
    <w:unhideWhenUsed/>
    <w:rsid w:val="00A0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soreriavirtual.veracruzmunicipi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2307</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Solorzano Ibañez</dc:creator>
  <cp:keywords/>
  <dc:description/>
  <cp:lastModifiedBy>Tesoreria A3</cp:lastModifiedBy>
  <cp:revision>31</cp:revision>
  <dcterms:created xsi:type="dcterms:W3CDTF">2025-03-25T21:01:00Z</dcterms:created>
  <dcterms:modified xsi:type="dcterms:W3CDTF">2025-03-28T21:06:00Z</dcterms:modified>
</cp:coreProperties>
</file>